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东莞理工学院本科教育教学审核评估网站建设服务采购项目需求书</w:t>
      </w:r>
    </w:p>
    <w:p>
      <w:pPr>
        <w:pStyle w:val="3"/>
        <w:numPr>
          <w:ilvl w:val="0"/>
          <w:numId w:val="1"/>
        </w:numPr>
        <w:rPr>
          <w:sz w:val="28"/>
          <w:szCs w:val="28"/>
        </w:rPr>
      </w:pPr>
      <w:r>
        <w:rPr>
          <w:rFonts w:hint="eastAsia"/>
          <w:sz w:val="28"/>
          <w:szCs w:val="28"/>
        </w:rPr>
        <w:t>项目整体</w:t>
      </w:r>
      <w:r>
        <w:rPr>
          <w:sz w:val="28"/>
          <w:szCs w:val="28"/>
        </w:rPr>
        <w:t>要求</w:t>
      </w:r>
    </w:p>
    <w:p>
      <w:pPr>
        <w:pStyle w:val="7"/>
        <w:numPr>
          <w:ilvl w:val="0"/>
          <w:numId w:val="2"/>
        </w:numPr>
        <w:spacing w:line="360" w:lineRule="auto"/>
        <w:ind w:left="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必须与采购人现有的平台系统进行深度对接（原有系统釆用B/S结构设计、JAVA语言开发、J2EE技术架构），采购人不再单独采购额外的管理后台，开发页面需满足现有的站群平台架构安全,要求全面兼容采购人现有站群平台且对接集成费用包含在供应商的整体报价里面,采购人不再额外支付费用。（供应商需提供承诺函）</w:t>
      </w:r>
    </w:p>
    <w:p>
      <w:pPr>
        <w:pStyle w:val="7"/>
        <w:numPr>
          <w:ilvl w:val="0"/>
          <w:numId w:val="2"/>
        </w:numPr>
        <w:spacing w:line="360" w:lineRule="auto"/>
        <w:ind w:left="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保证安全性及兼容性，建设必须基于我校目前使用的平台系统构建，必须使用平台本身提供的开发接口及脚本语言进行开发，不得使用平台系统以外的第三方应用平台，不允许额外部署其他的开发环境及数据库系统。</w:t>
      </w:r>
    </w:p>
    <w:p>
      <w:pPr>
        <w:pStyle w:val="7"/>
        <w:numPr>
          <w:ilvl w:val="0"/>
          <w:numId w:val="2"/>
        </w:numPr>
        <w:spacing w:line="360" w:lineRule="auto"/>
        <w:ind w:left="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因网络安全管理需要，所有各级管理员身份信息（管理员、新闻管理员等角色）需要与东莞理工学院统一身份认证平台进行对接，实现单点登录。具体对接技术方案由投标人与学校协商。</w:t>
      </w:r>
    </w:p>
    <w:p>
      <w:pPr>
        <w:pStyle w:val="7"/>
        <w:numPr>
          <w:ilvl w:val="0"/>
          <w:numId w:val="2"/>
        </w:numPr>
        <w:spacing w:line="360" w:lineRule="auto"/>
        <w:ind w:left="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对接服务：根据开发要求与学校原站群系统进行技术对接，需要迁移现有教育教学审核评估门户所需要的全部内容数据。</w:t>
      </w:r>
    </w:p>
    <w:p>
      <w:pPr>
        <w:pStyle w:val="7"/>
        <w:numPr>
          <w:ilvl w:val="0"/>
          <w:numId w:val="2"/>
        </w:numPr>
        <w:spacing w:after="100" w:afterAutospacing="1"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项目的开发与制作应做好安全管理及漏洞检查，项目完成部署后需通过我校监测系统的漏洞扫描测试。对项目运行过程中出现的安全漏洞或隐患承诺免费升级修补。</w:t>
      </w:r>
    </w:p>
    <w:p>
      <w:pPr>
        <w:pStyle w:val="7"/>
        <w:numPr>
          <w:ilvl w:val="0"/>
          <w:numId w:val="2"/>
        </w:numPr>
        <w:spacing w:after="100" w:afterAutospacing="1"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中标公司在开发门户过程中使用的所有非招标方提供的素材，包括文字、字体、图片、视频等媒体内容由中标公司承担版权责任。</w:t>
      </w:r>
    </w:p>
    <w:p>
      <w:pPr>
        <w:pStyle w:val="7"/>
        <w:numPr>
          <w:ilvl w:val="0"/>
          <w:numId w:val="2"/>
        </w:numPr>
        <w:spacing w:line="360" w:lineRule="auto"/>
        <w:ind w:firstLineChars="0"/>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中标公司的开发人员在开发期间接触到的各类系统密码和其他业务数据不得拷贝和向无关人员泄露。</w:t>
      </w:r>
    </w:p>
    <w:p>
      <w:pPr>
        <w:pStyle w:val="7"/>
        <w:spacing w:line="360" w:lineRule="auto"/>
        <w:ind w:firstLine="0" w:firstLineChars="0"/>
        <w:rPr>
          <w:rFonts w:ascii="宋体" w:hAnsi="宋体" w:cs="宋体"/>
          <w:color w:val="000000" w:themeColor="text1"/>
          <w:sz w:val="24"/>
          <w:szCs w:val="24"/>
          <w14:textFill>
            <w14:solidFill>
              <w14:schemeClr w14:val="tx1"/>
            </w14:solidFill>
          </w14:textFill>
        </w:rPr>
      </w:pPr>
    </w:p>
    <w:p>
      <w:pPr>
        <w:pStyle w:val="3"/>
        <w:numPr>
          <w:ilvl w:val="0"/>
          <w:numId w:val="1"/>
        </w:numPr>
        <w:rPr>
          <w:sz w:val="28"/>
          <w:szCs w:val="28"/>
        </w:rPr>
      </w:pPr>
      <w:r>
        <w:rPr>
          <w:sz w:val="28"/>
          <w:szCs w:val="28"/>
        </w:rPr>
        <w:t>建设</w:t>
      </w:r>
      <w:r>
        <w:rPr>
          <w:rFonts w:hint="eastAsia"/>
          <w:sz w:val="28"/>
          <w:szCs w:val="28"/>
        </w:rPr>
        <w:t>需</w:t>
      </w:r>
      <w:r>
        <w:rPr>
          <w:sz w:val="28"/>
          <w:szCs w:val="28"/>
        </w:rPr>
        <w:t>求</w:t>
      </w:r>
    </w:p>
    <w:p>
      <w:pPr>
        <w:numPr>
          <w:ilvl w:val="0"/>
          <w:numId w:val="3"/>
        </w:numPr>
        <w:tabs>
          <w:tab w:val="left" w:pos="567"/>
        </w:tabs>
        <w:spacing w:after="100" w:afterAutospacing="1" w:line="360" w:lineRule="auto"/>
        <w:ind w:left="426" w:hanging="426"/>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w:t>
      </w:r>
      <w:r>
        <w:rPr>
          <w:b/>
          <w:color w:val="000000" w:themeColor="text1"/>
          <w:sz w:val="24"/>
          <w:szCs w:val="24"/>
          <w14:textFill>
            <w14:solidFill>
              <w14:schemeClr w14:val="tx1"/>
            </w14:solidFill>
          </w14:textFill>
        </w:rPr>
        <w:t>名称</w:t>
      </w:r>
    </w:p>
    <w:p>
      <w:pPr>
        <w:tabs>
          <w:tab w:val="left" w:pos="567"/>
        </w:tabs>
        <w:spacing w:after="100" w:afterAutospacing="1"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东莞理工学院本科教育教学审核评估网站建设服务采购项目</w:t>
      </w:r>
    </w:p>
    <w:p>
      <w:pPr>
        <w:numPr>
          <w:ilvl w:val="0"/>
          <w:numId w:val="3"/>
        </w:numPr>
        <w:tabs>
          <w:tab w:val="left" w:pos="567"/>
        </w:tabs>
        <w:spacing w:after="100" w:afterAutospacing="1" w:line="360" w:lineRule="auto"/>
        <w:ind w:left="426" w:hanging="426"/>
        <w:rPr>
          <w:rFonts w:hAnsi="宋体" w:cs="宋体"/>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建设内容</w:t>
      </w:r>
    </w:p>
    <w:p>
      <w:pPr>
        <w:tabs>
          <w:tab w:val="left" w:pos="567"/>
        </w:tabs>
        <w:spacing w:after="100" w:afterAutospacing="1"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依托东莞理工学院网站群系统，利用网站群后台数据库服务、内建脚本语言及动态模板技术，开发实施</w:t>
      </w:r>
      <w:r>
        <w:rPr>
          <w:rFonts w:hint="eastAsia" w:ascii="宋体" w:hAnsi="宋体" w:cs="宋体"/>
          <w:color w:val="000000" w:themeColor="text1"/>
          <w:sz w:val="24"/>
          <w:szCs w:val="24"/>
          <w14:textFill>
            <w14:solidFill>
              <w14:schemeClr w14:val="tx1"/>
            </w14:solidFill>
          </w14:textFill>
        </w:rPr>
        <w:t>东莞理工学院本科教育教学审核评估门户改造及安全检查</w:t>
      </w:r>
      <w:r>
        <w:rPr>
          <w:rFonts w:hint="eastAsia"/>
          <w:color w:val="000000" w:themeColor="text1"/>
          <w:sz w:val="24"/>
          <w:szCs w:val="24"/>
          <w14:textFill>
            <w14:solidFill>
              <w14:schemeClr w14:val="tx1"/>
            </w14:solidFill>
          </w14:textFill>
        </w:rPr>
        <w:t>服务项目</w:t>
      </w:r>
    </w:p>
    <w:p>
      <w:pPr>
        <w:tabs>
          <w:tab w:val="left" w:pos="567"/>
        </w:tabs>
        <w:spacing w:after="100" w:afterAutospacing="1"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理端支持B/S模式下的单点登录（校园网用户统一身份认证）、管理权限角色定义、模板在线管理、内容分类动态定义、图文内容混排编辑、支持Office格式文档在线自动转换及各类附件上传管理、信息多级审核及动态发布、管理日志记录等网站系统管理功能。</w:t>
      </w:r>
    </w:p>
    <w:p>
      <w:pPr>
        <w:tabs>
          <w:tab w:val="left" w:pos="567"/>
        </w:tabs>
        <w:spacing w:after="100" w:afterAutospacing="1"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客户端界面要求美观大方，整体视觉效果与官方色彩兼容、形式匹配。内容分类模块划分合理、重点突出、布局清晰，图文内容展示方式灵活，实施要求使用DIV+CSS布局，匹配宽屏（1280px以上）显示，多级菜单浮动显示，首页焦点文字图片内容支持动画展示（非flash实现方式）。</w:t>
      </w:r>
    </w:p>
    <w:p>
      <w:pPr>
        <w:tabs>
          <w:tab w:val="left" w:pos="567"/>
        </w:tabs>
        <w:spacing w:after="100" w:afterAutospacing="1"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项目要求和技术参数要求如下：</w:t>
      </w:r>
    </w:p>
    <w:tbl>
      <w:tblPr>
        <w:tblStyle w:val="5"/>
        <w:tblW w:w="4999" w:type="pct"/>
        <w:tblInd w:w="0" w:type="dxa"/>
        <w:shd w:val="clear" w:color="auto" w:fill="FFFFFF"/>
        <w:tblLayout w:type="autofit"/>
        <w:tblCellMar>
          <w:top w:w="0" w:type="dxa"/>
          <w:left w:w="0" w:type="dxa"/>
          <w:bottom w:w="0" w:type="dxa"/>
          <w:right w:w="0" w:type="dxa"/>
        </w:tblCellMar>
      </w:tblPr>
      <w:tblGrid>
        <w:gridCol w:w="768"/>
        <w:gridCol w:w="1188"/>
        <w:gridCol w:w="6564"/>
      </w:tblGrid>
      <w:tr>
        <w:tblPrEx>
          <w:shd w:val="clear" w:color="auto" w:fill="FFFFFF"/>
          <w:tblCellMar>
            <w:top w:w="0" w:type="dxa"/>
            <w:left w:w="0" w:type="dxa"/>
            <w:bottom w:w="0" w:type="dxa"/>
            <w:right w:w="0" w:type="dxa"/>
          </w:tblCellMar>
        </w:tblPrEx>
        <w:tc>
          <w:tcPr>
            <w:tcW w:w="451"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序号</w:t>
            </w:r>
          </w:p>
        </w:tc>
        <w:tc>
          <w:tcPr>
            <w:tcW w:w="697" w:type="pct"/>
            <w:tcBorders>
              <w:top w:val="single" w:color="000000" w:sz="6" w:space="0"/>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功能技术参数内容</w:t>
            </w:r>
          </w:p>
        </w:tc>
        <w:tc>
          <w:tcPr>
            <w:tcW w:w="3851" w:type="pct"/>
            <w:tcBorders>
              <w:top w:val="single" w:color="000000" w:sz="6" w:space="0"/>
              <w:left w:val="nil"/>
              <w:bottom w:val="single" w:color="000000" w:sz="6" w:space="0"/>
              <w:right w:val="single" w:color="000000" w:sz="6" w:space="0"/>
            </w:tcBorders>
            <w:shd w:val="clear" w:color="auto" w:fill="FFFFFF"/>
            <w:tcMar>
              <w:left w:w="108" w:type="dxa"/>
              <w:right w:w="108" w:type="dxa"/>
            </w:tcMar>
          </w:tcPr>
          <w:p>
            <w:pPr>
              <w:widowControl/>
              <w:jc w:val="center"/>
              <w:rPr>
                <w:rFonts w:ascii="宋体" w:hAnsi="宋体" w:cs="宋体"/>
                <w:sz w:val="24"/>
                <w:szCs w:val="24"/>
              </w:rPr>
            </w:pPr>
            <w:r>
              <w:rPr>
                <w:rFonts w:hint="eastAsia" w:ascii="宋体" w:hAnsi="宋体" w:cs="宋体"/>
                <w:kern w:val="0"/>
                <w:sz w:val="24"/>
                <w:szCs w:val="24"/>
                <w:lang w:bidi="ar"/>
              </w:rPr>
              <w:t>技术参数</w:t>
            </w:r>
          </w:p>
        </w:tc>
      </w:tr>
      <w:tr>
        <w:tblPrEx>
          <w:shd w:val="clear" w:color="auto" w:fill="FFFFFF"/>
          <w:tblCellMar>
            <w:top w:w="0" w:type="dxa"/>
            <w:left w:w="0" w:type="dxa"/>
            <w:bottom w:w="0" w:type="dxa"/>
            <w:right w:w="0" w:type="dxa"/>
          </w:tblCellMar>
        </w:tblPrEx>
        <w:trPr>
          <w:trHeight w:val="252" w:hRule="atLeast"/>
        </w:trPr>
        <w:tc>
          <w:tcPr>
            <w:tcW w:w="451" w:type="pct"/>
            <w:tcBorders>
              <w:top w:val="nil"/>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1</w:t>
            </w:r>
          </w:p>
        </w:tc>
        <w:tc>
          <w:tcPr>
            <w:tcW w:w="697"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建设主旨及原则</w:t>
            </w:r>
          </w:p>
        </w:tc>
        <w:tc>
          <w:tcPr>
            <w:tcW w:w="3851"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根据提供的其他知名高校作为模板，符合教育教学审核评估门户行政机构风格和业务功能的教育教学审核评估门户</w:t>
            </w:r>
          </w:p>
          <w:p>
            <w:pPr>
              <w:widowControl/>
              <w:rPr>
                <w:rFonts w:ascii="宋体" w:hAnsi="宋体" w:cs="宋体"/>
                <w:sz w:val="24"/>
                <w:szCs w:val="24"/>
              </w:rPr>
            </w:pPr>
            <w:r>
              <w:rPr>
                <w:rFonts w:hint="eastAsia" w:ascii="宋体" w:hAnsi="宋体" w:cs="宋体"/>
                <w:kern w:val="0"/>
                <w:sz w:val="24"/>
                <w:szCs w:val="24"/>
                <w:lang w:bidi="ar"/>
              </w:rPr>
              <w:t>精美：创立网上形象，突出教育教学审核评估门户定位，网页布局简洁、大气、美观，的风格，符合主流的趋势，使的整体风格典雅、大气。文字，图形色彩搭配合理规范，界面清楚整洁，层次结构清楚。</w:t>
            </w:r>
          </w:p>
          <w:p>
            <w:pPr>
              <w:widowControl/>
              <w:rPr>
                <w:rFonts w:ascii="宋体" w:hAnsi="宋体" w:cs="宋体"/>
                <w:sz w:val="24"/>
                <w:szCs w:val="24"/>
              </w:rPr>
            </w:pPr>
            <w:r>
              <w:rPr>
                <w:rFonts w:hint="eastAsia" w:ascii="宋体" w:hAnsi="宋体" w:cs="宋体"/>
                <w:kern w:val="0"/>
                <w:sz w:val="24"/>
                <w:szCs w:val="24"/>
                <w:lang w:bidi="ar"/>
              </w:rPr>
              <w:t>合理：栏目架构、结构布局条理清晰。</w:t>
            </w:r>
          </w:p>
          <w:p>
            <w:pPr>
              <w:widowControl/>
              <w:rPr>
                <w:rFonts w:ascii="宋体" w:hAnsi="宋体" w:cs="宋体"/>
                <w:sz w:val="24"/>
                <w:szCs w:val="24"/>
              </w:rPr>
            </w:pPr>
            <w:r>
              <w:rPr>
                <w:rFonts w:hint="eastAsia" w:ascii="宋体" w:hAnsi="宋体" w:cs="宋体"/>
                <w:kern w:val="0"/>
                <w:sz w:val="24"/>
                <w:szCs w:val="24"/>
                <w:lang w:bidi="ar"/>
              </w:rPr>
              <w:t>实用：页面布局合理，让学生、教师用户能快速找到自己想要的内容加强信息交流。</w:t>
            </w:r>
          </w:p>
        </w:tc>
      </w:tr>
      <w:tr>
        <w:tblPrEx>
          <w:shd w:val="clear" w:color="auto" w:fill="FFFFFF"/>
          <w:tblCellMar>
            <w:top w:w="0" w:type="dxa"/>
            <w:left w:w="0" w:type="dxa"/>
            <w:bottom w:w="0" w:type="dxa"/>
            <w:right w:w="0" w:type="dxa"/>
          </w:tblCellMar>
        </w:tblPrEx>
        <w:tc>
          <w:tcPr>
            <w:tcW w:w="451" w:type="pct"/>
            <w:tcBorders>
              <w:top w:val="nil"/>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2</w:t>
            </w:r>
          </w:p>
        </w:tc>
        <w:tc>
          <w:tcPr>
            <w:tcW w:w="697"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结构优化</w:t>
            </w:r>
          </w:p>
        </w:tc>
        <w:tc>
          <w:tcPr>
            <w:tcW w:w="3851"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符合高校标准和网络营销导向的规范，提高可信度和形象；让用户获取信息更容易，用户体验更佳；用最合理的表现方式为用户提供最有价值的信息和服务，让真正发挥其应有的教学、通告、宣传价值。</w:t>
            </w:r>
          </w:p>
        </w:tc>
      </w:tr>
      <w:tr>
        <w:tblPrEx>
          <w:shd w:val="clear" w:color="auto" w:fill="FFFFFF"/>
          <w:tblCellMar>
            <w:top w:w="0" w:type="dxa"/>
            <w:left w:w="0" w:type="dxa"/>
            <w:bottom w:w="0" w:type="dxa"/>
            <w:right w:w="0" w:type="dxa"/>
          </w:tblCellMar>
        </w:tblPrEx>
        <w:tc>
          <w:tcPr>
            <w:tcW w:w="451" w:type="pct"/>
            <w:tcBorders>
              <w:top w:val="nil"/>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3</w:t>
            </w:r>
          </w:p>
        </w:tc>
        <w:tc>
          <w:tcPr>
            <w:tcW w:w="697"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网页效果</w:t>
            </w:r>
          </w:p>
        </w:tc>
        <w:tc>
          <w:tcPr>
            <w:tcW w:w="3851"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首页效果：首页制作符合客户要求的教育教学审核评估门户形象，精美、布局合理，使整个看起高端、大气、简洁又专业。</w:t>
            </w:r>
          </w:p>
          <w:p>
            <w:pPr>
              <w:widowControl/>
              <w:rPr>
                <w:rFonts w:ascii="宋体" w:hAnsi="宋体" w:cs="宋体"/>
                <w:sz w:val="24"/>
                <w:szCs w:val="24"/>
              </w:rPr>
            </w:pPr>
            <w:r>
              <w:rPr>
                <w:rFonts w:hint="eastAsia" w:ascii="宋体" w:hAnsi="宋体" w:cs="宋体"/>
                <w:kern w:val="0"/>
                <w:sz w:val="24"/>
                <w:szCs w:val="24"/>
                <w:lang w:bidi="ar"/>
              </w:rPr>
              <w:t>根据客户提供的其他知名高校参考模板，符合大众浏览。</w:t>
            </w:r>
          </w:p>
          <w:p>
            <w:pPr>
              <w:widowControl/>
              <w:rPr>
                <w:rFonts w:ascii="宋体" w:hAnsi="宋体" w:cs="宋体"/>
                <w:sz w:val="24"/>
                <w:szCs w:val="24"/>
              </w:rPr>
            </w:pPr>
            <w:r>
              <w:rPr>
                <w:rFonts w:hint="eastAsia" w:ascii="宋体" w:hAnsi="宋体" w:cs="宋体"/>
                <w:kern w:val="0"/>
                <w:sz w:val="24"/>
                <w:szCs w:val="24"/>
                <w:lang w:bidi="ar"/>
              </w:rPr>
              <w:t>首页Banner：首页banner大图，采用动态切换形式。</w:t>
            </w:r>
          </w:p>
        </w:tc>
      </w:tr>
      <w:tr>
        <w:tblPrEx>
          <w:shd w:val="clear" w:color="auto" w:fill="FFFFFF"/>
          <w:tblCellMar>
            <w:top w:w="0" w:type="dxa"/>
            <w:left w:w="0" w:type="dxa"/>
            <w:bottom w:w="0" w:type="dxa"/>
            <w:right w:w="0" w:type="dxa"/>
          </w:tblCellMar>
        </w:tblPrEx>
        <w:tc>
          <w:tcPr>
            <w:tcW w:w="451" w:type="pct"/>
            <w:tcBorders>
              <w:top w:val="nil"/>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4</w:t>
            </w:r>
          </w:p>
        </w:tc>
        <w:tc>
          <w:tcPr>
            <w:tcW w:w="697"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前端制作</w:t>
            </w:r>
          </w:p>
        </w:tc>
        <w:tc>
          <w:tcPr>
            <w:tcW w:w="3851"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前台页面采用DIV+CSS手写代码制作，符合标准化制作要求。</w:t>
            </w:r>
          </w:p>
        </w:tc>
      </w:tr>
      <w:tr>
        <w:tblPrEx>
          <w:shd w:val="clear" w:color="auto" w:fill="FFFFFF"/>
          <w:tblCellMar>
            <w:top w:w="0" w:type="dxa"/>
            <w:left w:w="0" w:type="dxa"/>
            <w:bottom w:w="0" w:type="dxa"/>
            <w:right w:w="0" w:type="dxa"/>
          </w:tblCellMar>
        </w:tblPrEx>
        <w:tc>
          <w:tcPr>
            <w:tcW w:w="451" w:type="pct"/>
            <w:tcBorders>
              <w:top w:val="nil"/>
              <w:left w:val="single" w:color="000000" w:sz="6" w:space="0"/>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5</w:t>
            </w:r>
          </w:p>
        </w:tc>
        <w:tc>
          <w:tcPr>
            <w:tcW w:w="697"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响应式代码开发</w:t>
            </w:r>
          </w:p>
        </w:tc>
        <w:tc>
          <w:tcPr>
            <w:tcW w:w="3851" w:type="pct"/>
            <w:tcBorders>
              <w:top w:val="nil"/>
              <w:left w:val="nil"/>
              <w:bottom w:val="single" w:color="000000" w:sz="6"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shd w:val="clear" w:color="auto" w:fill="FFFFFF"/>
                <w:lang w:bidi="ar"/>
              </w:rPr>
              <w:t>★</w:t>
            </w:r>
            <w:r>
              <w:rPr>
                <w:rFonts w:hint="eastAsia" w:ascii="宋体" w:hAnsi="宋体" w:cs="宋体"/>
                <w:kern w:val="0"/>
                <w:sz w:val="24"/>
                <w:szCs w:val="24"/>
                <w:lang w:bidi="ar"/>
              </w:rPr>
              <w:t>根据响应式对页面进行响应式前端代码开发，自适应PC端与手机端。</w:t>
            </w:r>
          </w:p>
        </w:tc>
      </w:tr>
      <w:tr>
        <w:tblPrEx>
          <w:shd w:val="clear" w:color="auto" w:fill="FFFFFF"/>
          <w:tblCellMar>
            <w:top w:w="0" w:type="dxa"/>
            <w:left w:w="0" w:type="dxa"/>
            <w:bottom w:w="0" w:type="dxa"/>
            <w:right w:w="0" w:type="dxa"/>
          </w:tblCellMar>
        </w:tblPrEx>
        <w:tc>
          <w:tcPr>
            <w:tcW w:w="451" w:type="pct"/>
            <w:tcBorders>
              <w:top w:val="nil"/>
              <w:left w:val="single" w:color="000000" w:sz="6" w:space="0"/>
              <w:bottom w:val="single" w:color="auto" w:sz="4"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6</w:t>
            </w:r>
          </w:p>
        </w:tc>
        <w:tc>
          <w:tcPr>
            <w:tcW w:w="697" w:type="pct"/>
            <w:tcBorders>
              <w:top w:val="nil"/>
              <w:left w:val="nil"/>
              <w:bottom w:val="single" w:color="auto" w:sz="4"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浏览器兼容性调试</w:t>
            </w:r>
          </w:p>
        </w:tc>
        <w:tc>
          <w:tcPr>
            <w:tcW w:w="3851" w:type="pct"/>
            <w:tcBorders>
              <w:top w:val="nil"/>
              <w:left w:val="nil"/>
              <w:bottom w:val="single" w:color="auto" w:sz="4" w:space="0"/>
              <w:right w:val="single" w:color="000000" w:sz="6"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shd w:val="clear" w:color="auto" w:fill="FFFFFF"/>
                <w:lang w:bidi="ar"/>
              </w:rPr>
              <w:t>★</w:t>
            </w:r>
            <w:r>
              <w:rPr>
                <w:rFonts w:hint="eastAsia" w:ascii="宋体" w:hAnsi="宋体" w:cs="宋体"/>
                <w:kern w:val="0"/>
                <w:sz w:val="24"/>
                <w:szCs w:val="24"/>
                <w:lang w:bidi="ar"/>
              </w:rPr>
              <w:t>对主流的 Web 浏览器（IE9+，Edge，Chrome，Firefox，Safari等）进行行兼容性调试。</w:t>
            </w:r>
          </w:p>
        </w:tc>
      </w:tr>
      <w:tr>
        <w:tblPrEx>
          <w:shd w:val="clear" w:color="auto" w:fill="FFFFFF"/>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7</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数据同步</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★网页版和手机版数据需同步，管理员维护一次即可在不同终端同步显示资料，不需要多次维护。如果需要不同步展示的新闻，系统也可支持配置。（投标人需要提供相关证明截图材料或承诺函）</w:t>
            </w:r>
          </w:p>
        </w:tc>
      </w:tr>
      <w:tr>
        <w:tblPrEx>
          <w:shd w:val="clear" w:color="auto" w:fill="FFFFFF"/>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sz w:val="24"/>
                <w:szCs w:val="24"/>
              </w:rPr>
            </w:pPr>
            <w:r>
              <w:rPr>
                <w:rFonts w:hint="eastAsia" w:ascii="宋体" w:hAnsi="宋体" w:cs="宋体"/>
                <w:kern w:val="0"/>
                <w:sz w:val="24"/>
                <w:szCs w:val="24"/>
                <w:lang w:bidi="ar"/>
              </w:rPr>
              <w:t>8</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数据对接</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shd w:val="clear" w:color="auto" w:fill="FFFFFF"/>
                <w:lang w:bidi="ar"/>
              </w:rPr>
              <w:t>★</w:t>
            </w:r>
            <w:r>
              <w:rPr>
                <w:rFonts w:hint="eastAsia" w:ascii="宋体" w:hAnsi="宋体" w:cs="宋体"/>
                <w:kern w:val="0"/>
                <w:sz w:val="24"/>
                <w:szCs w:val="24"/>
                <w:lang w:bidi="ar"/>
              </w:rPr>
              <w:t>根据开发要求与学校现有站群系统进行技术对接。投标人具备学校现有系统和其他系统之间数据对接和同步的技术能力。（</w:t>
            </w:r>
            <w:r>
              <w:rPr>
                <w:rFonts w:hint="eastAsia" w:ascii="宋体" w:hAnsi="宋体" w:cs="宋体"/>
                <w:kern w:val="0"/>
                <w:sz w:val="24"/>
                <w:szCs w:val="24"/>
                <w:shd w:val="clear" w:color="auto" w:fill="FFFFFF"/>
                <w:lang w:bidi="ar"/>
              </w:rPr>
              <w:t>投标人需要提供相关承诺函</w:t>
            </w:r>
            <w:r>
              <w:rPr>
                <w:rFonts w:hint="eastAsia" w:ascii="宋体" w:hAnsi="宋体" w:cs="宋体"/>
                <w:kern w:val="0"/>
                <w:sz w:val="24"/>
                <w:szCs w:val="24"/>
                <w:lang w:bidi="ar"/>
              </w:rPr>
              <w:t>）</w:t>
            </w:r>
          </w:p>
        </w:tc>
      </w:tr>
      <w:tr>
        <w:tblPrEx>
          <w:shd w:val="clear" w:color="auto" w:fill="FFFFFF"/>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9</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文章投递</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shd w:val="clear" w:color="auto" w:fill="FFFFFF"/>
                <w:lang w:bidi="ar"/>
              </w:rPr>
              <w:t>★</w:t>
            </w:r>
            <w:r>
              <w:rPr>
                <w:rFonts w:hint="eastAsia" w:ascii="宋体" w:hAnsi="宋体" w:cs="宋体"/>
                <w:kern w:val="0"/>
                <w:sz w:val="24"/>
                <w:szCs w:val="24"/>
                <w:lang w:bidi="ar"/>
              </w:rPr>
              <w:t>可实现教育教学审核评估门户和学校官网数据打通及投递功能，一次维护不同站点同步显示。</w:t>
            </w:r>
            <w:r>
              <w:rPr>
                <w:rFonts w:hint="eastAsia" w:ascii="宋体" w:hAnsi="宋体" w:cs="宋体"/>
                <w:kern w:val="0"/>
                <w:sz w:val="24"/>
                <w:szCs w:val="24"/>
                <w:shd w:val="clear" w:color="auto" w:fill="FFFFFF"/>
                <w:lang w:bidi="ar"/>
              </w:rPr>
              <w:t>（投标人需要提供相关证明截图材料或承诺函）</w:t>
            </w:r>
          </w:p>
        </w:tc>
      </w:tr>
      <w:tr>
        <w:tblPrEx>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10</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审核流</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shd w:val="clear" w:color="auto" w:fill="FFFFFF"/>
                <w:lang w:bidi="ar"/>
              </w:rPr>
              <w:t>★</w:t>
            </w:r>
            <w:r>
              <w:rPr>
                <w:rFonts w:hint="eastAsia" w:ascii="宋体" w:hAnsi="宋体" w:cs="宋体"/>
                <w:kern w:val="0"/>
                <w:sz w:val="24"/>
                <w:szCs w:val="24"/>
                <w:lang w:bidi="ar"/>
              </w:rPr>
              <w:t>重要通知公告需要设置审核流，普通管理员初步拟定，提交高级管理员审核通过后，即可发布，若审核不通过，可填写修改意见退回。</w:t>
            </w:r>
            <w:r>
              <w:rPr>
                <w:rFonts w:hint="eastAsia" w:ascii="宋体" w:hAnsi="宋体" w:cs="宋体"/>
                <w:kern w:val="0"/>
                <w:sz w:val="24"/>
                <w:szCs w:val="24"/>
                <w:shd w:val="clear" w:color="auto" w:fill="FFFFFF"/>
                <w:lang w:bidi="ar"/>
              </w:rPr>
              <w:t>（投标人需要提供相关证明截图材料或承诺函）</w:t>
            </w:r>
          </w:p>
        </w:tc>
      </w:tr>
      <w:tr>
        <w:tblPrEx>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11</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权限划分</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管理员权限划分细分到栏目，高级管理员可分配多个普通管理员对不同栏目进行管理维护。</w:t>
            </w:r>
            <w:r>
              <w:rPr>
                <w:rFonts w:hint="eastAsia" w:ascii="宋体" w:hAnsi="宋体" w:cs="宋体"/>
                <w:kern w:val="0"/>
                <w:sz w:val="24"/>
                <w:szCs w:val="24"/>
                <w:shd w:val="clear" w:color="auto" w:fill="FFFFFF"/>
                <w:lang w:bidi="ar"/>
              </w:rPr>
              <w:t>（投标人需要提供相关证明截图材料或承诺函）</w:t>
            </w:r>
          </w:p>
        </w:tc>
      </w:tr>
      <w:tr>
        <w:tblPrEx>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12</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安全</w:t>
            </w:r>
            <w:r>
              <w:rPr>
                <w:rFonts w:hint="eastAsia" w:ascii="宋体" w:hAnsi="宋体" w:cs="宋体"/>
                <w:kern w:val="0"/>
                <w:sz w:val="24"/>
                <w:szCs w:val="24"/>
                <w:lang w:val="en-GB" w:bidi="ar"/>
              </w:rPr>
              <w:t>原则</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1）</w:t>
            </w:r>
            <w:r>
              <w:rPr>
                <w:rFonts w:hint="eastAsia" w:ascii="宋体" w:hAnsi="宋体" w:cs="宋体"/>
                <w:kern w:val="0"/>
                <w:sz w:val="24"/>
                <w:szCs w:val="24"/>
                <w:lang w:val="en-GB" w:bidi="ar"/>
              </w:rPr>
              <w:t>系统运行的安全性和稳定性是业务系统正常运行的重要保障。在系统建设中要符合国家有关信息安全方面的法律、法规及技术要求，强化信息安全管理，制定和完善相关的应急处理预案，保证系统稳定运行。形成在各层次之间，呈立体状的全而安全管理与控制体系</w:t>
            </w:r>
            <w:r>
              <w:rPr>
                <w:rFonts w:hint="eastAsia" w:ascii="宋体" w:hAnsi="宋体" w:cs="宋体"/>
                <w:kern w:val="0"/>
                <w:sz w:val="24"/>
                <w:szCs w:val="24"/>
                <w:lang w:val="en-GB" w:bidi="ar"/>
              </w:rPr>
              <w:br w:type="textWrapping"/>
            </w:r>
            <w:r>
              <w:rPr>
                <w:rFonts w:hint="eastAsia" w:ascii="宋体" w:hAnsi="宋体" w:cs="宋体"/>
                <w:kern w:val="0"/>
                <w:sz w:val="24"/>
                <w:szCs w:val="24"/>
                <w:lang w:bidi="ar"/>
              </w:rPr>
              <w:t>2）项目建设完成时需要对项目整体进行安全扫描并提供扫描报告</w:t>
            </w:r>
          </w:p>
          <w:p>
            <w:pPr>
              <w:widowControl/>
            </w:pPr>
            <w:r>
              <w:rPr>
                <w:rFonts w:hint="eastAsia" w:ascii="宋体" w:hAnsi="宋体" w:cs="宋体"/>
                <w:kern w:val="0"/>
                <w:sz w:val="24"/>
                <w:szCs w:val="24"/>
                <w:lang w:bidi="ar"/>
              </w:rPr>
              <w:t>3）需通过等保2.0</w:t>
            </w:r>
          </w:p>
        </w:tc>
      </w:tr>
      <w:tr>
        <w:tblPrEx>
          <w:shd w:val="clear" w:color="auto" w:fill="FFFFFF"/>
          <w:tblCellMar>
            <w:top w:w="0" w:type="dxa"/>
            <w:left w:w="0" w:type="dxa"/>
            <w:bottom w:w="0" w:type="dxa"/>
            <w:right w:w="0" w:type="dxa"/>
          </w:tblCellMar>
        </w:tblPrEx>
        <w:tc>
          <w:tcPr>
            <w:tcW w:w="4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bidi="ar"/>
              </w:rPr>
              <w:t>13</w:t>
            </w:r>
          </w:p>
        </w:tc>
        <w:tc>
          <w:tcPr>
            <w:tcW w:w="6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bidi="ar"/>
              </w:rPr>
            </w:pPr>
            <w:r>
              <w:rPr>
                <w:rFonts w:hint="eastAsia" w:ascii="宋体" w:hAnsi="宋体" w:cs="宋体"/>
                <w:kern w:val="0"/>
                <w:sz w:val="24"/>
                <w:szCs w:val="24"/>
                <w:lang w:val="en-GB" w:bidi="ar"/>
              </w:rPr>
              <w:t>统一标准原则</w:t>
            </w:r>
          </w:p>
        </w:tc>
        <w:tc>
          <w:tcPr>
            <w:tcW w:w="385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rPr>
                <w:rFonts w:ascii="宋体" w:hAnsi="宋体" w:cs="宋体"/>
                <w:kern w:val="0"/>
                <w:sz w:val="24"/>
                <w:szCs w:val="24"/>
                <w:lang w:val="en-GB" w:bidi="ar"/>
              </w:rPr>
            </w:pPr>
            <w:r>
              <w:rPr>
                <w:rFonts w:hint="eastAsia" w:ascii="宋体" w:hAnsi="宋体" w:cs="宋体"/>
                <w:kern w:val="0"/>
                <w:sz w:val="24"/>
                <w:szCs w:val="24"/>
                <w:lang w:val="en-GB" w:bidi="ar"/>
              </w:rPr>
              <w:t>在</w:t>
            </w:r>
            <w:r>
              <w:rPr>
                <w:rFonts w:hint="eastAsia" w:ascii="宋体" w:hAnsi="宋体" w:cs="宋体"/>
                <w:kern w:val="0"/>
                <w:sz w:val="24"/>
                <w:szCs w:val="24"/>
                <w:lang w:bidi="ar"/>
              </w:rPr>
              <w:t>项目</w:t>
            </w:r>
            <w:r>
              <w:rPr>
                <w:rFonts w:hint="eastAsia" w:ascii="宋体" w:hAnsi="宋体" w:cs="宋体"/>
                <w:kern w:val="0"/>
                <w:sz w:val="24"/>
                <w:szCs w:val="24"/>
                <w:lang w:val="en-GB" w:bidi="ar"/>
              </w:rPr>
              <w:t>建设过程中，必须“统一规范、统一代码、统一接口”。加强指导、组织和协调，规范后台信息发布的基本功能和数据编码等信息标准。</w:t>
            </w:r>
          </w:p>
        </w:tc>
      </w:tr>
    </w:tbl>
    <w:p>
      <w:pPr>
        <w:tabs>
          <w:tab w:val="left" w:pos="567"/>
        </w:tabs>
        <w:spacing w:after="100" w:afterAutospacing="1" w:line="360" w:lineRule="auto"/>
        <w:rPr>
          <w:b/>
          <w:color w:val="000000" w:themeColor="text1"/>
          <w:sz w:val="24"/>
          <w:szCs w:val="24"/>
          <w14:textFill>
            <w14:solidFill>
              <w14:schemeClr w14:val="tx1"/>
            </w14:solidFill>
          </w14:textFill>
        </w:rPr>
      </w:pPr>
    </w:p>
    <w:p>
      <w:pPr>
        <w:pStyle w:val="3"/>
        <w:numPr>
          <w:ilvl w:val="0"/>
          <w:numId w:val="1"/>
        </w:numPr>
        <w:rPr>
          <w:sz w:val="28"/>
          <w:szCs w:val="28"/>
        </w:rPr>
      </w:pPr>
      <w:r>
        <w:rPr>
          <w:rFonts w:hint="eastAsia"/>
          <w:sz w:val="28"/>
          <w:szCs w:val="28"/>
        </w:rPr>
        <w:t>工期要求</w:t>
      </w:r>
    </w:p>
    <w:p>
      <w:pPr>
        <w:spacing w:after="100" w:afterAutospacing="1" w:line="360" w:lineRule="auto"/>
        <w:ind w:left="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w:t>
      </w:r>
      <w:r>
        <w:rPr>
          <w:color w:val="000000" w:themeColor="text1"/>
          <w:sz w:val="24"/>
          <w:szCs w:val="24"/>
          <w14:textFill>
            <w14:solidFill>
              <w14:schemeClr w14:val="tx1"/>
            </w14:solidFill>
          </w14:textFill>
        </w:rPr>
        <w:t>合同签订之日起的</w:t>
      </w:r>
      <w:r>
        <w:rPr>
          <w:rFonts w:hint="eastAsia"/>
          <w:color w:val="000000" w:themeColor="text1"/>
          <w:sz w:val="24"/>
          <w:szCs w:val="24"/>
          <w14:textFill>
            <w14:solidFill>
              <w14:schemeClr w14:val="tx1"/>
            </w14:solidFill>
          </w14:textFill>
        </w:rPr>
        <w:t>7个工作日内，完成的开发、部署、测试及试运行，并通过采购人的最终验收。</w:t>
      </w:r>
    </w:p>
    <w:p>
      <w:pPr>
        <w:pStyle w:val="3"/>
        <w:numPr>
          <w:ilvl w:val="0"/>
          <w:numId w:val="1"/>
        </w:numPr>
        <w:rPr>
          <w:sz w:val="28"/>
          <w:szCs w:val="28"/>
        </w:rPr>
      </w:pPr>
      <w:r>
        <w:rPr>
          <w:rFonts w:hint="eastAsia"/>
          <w:sz w:val="28"/>
          <w:szCs w:val="28"/>
        </w:rPr>
        <w:t>培训要求</w:t>
      </w:r>
    </w:p>
    <w:p>
      <w:pPr>
        <w:spacing w:after="100" w:afterAutospacing="1" w:line="360" w:lineRule="auto"/>
        <w:ind w:left="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对采购人指定的人员进行线上培训指导1次，培训人数和时间由采购人指定。并提供长期不定时线上培训。</w:t>
      </w:r>
    </w:p>
    <w:p>
      <w:pPr>
        <w:pStyle w:val="3"/>
        <w:numPr>
          <w:ilvl w:val="0"/>
          <w:numId w:val="1"/>
        </w:numPr>
        <w:rPr>
          <w:sz w:val="28"/>
          <w:szCs w:val="28"/>
        </w:rPr>
      </w:pPr>
      <w:r>
        <w:rPr>
          <w:rFonts w:hint="eastAsia"/>
          <w:sz w:val="28"/>
          <w:szCs w:val="28"/>
        </w:rPr>
        <w:t>运维服务要求</w:t>
      </w:r>
    </w:p>
    <w:p>
      <w:pPr>
        <w:pStyle w:val="4"/>
        <w:widowControl/>
        <w:numPr>
          <w:ilvl w:val="0"/>
          <w:numId w:val="4"/>
        </w:numPr>
        <w:spacing w:beforeAutospacing="0" w:afterAutospacing="0" w:line="360" w:lineRule="auto"/>
        <w:ind w:left="0" w:firstLine="0"/>
        <w:rPr>
          <w:color w:val="000000" w:themeColor="text1"/>
          <w:kern w:val="2"/>
          <w:szCs w:val="24"/>
          <w14:textFill>
            <w14:solidFill>
              <w14:schemeClr w14:val="tx1"/>
            </w14:solidFill>
          </w14:textFill>
        </w:rPr>
      </w:pPr>
      <w:r>
        <w:rPr>
          <w:rFonts w:hint="eastAsia" w:ascii="仿宋" w:hAnsi="仿宋" w:eastAsia="仿宋" w:cs="仿宋"/>
          <w:shd w:val="clear" w:color="auto" w:fill="FFFFFF"/>
          <w:lang w:bidi="ar"/>
        </w:rPr>
        <w:t>★</w:t>
      </w:r>
      <w:r>
        <w:rPr>
          <w:color w:val="000000" w:themeColor="text1"/>
          <w:kern w:val="2"/>
          <w:szCs w:val="24"/>
          <w14:textFill>
            <w14:solidFill>
              <w14:schemeClr w14:val="tx1"/>
            </w14:solidFill>
          </w14:textFill>
        </w:rPr>
        <w:t>免费维保期限一年，维护内容包括：</w:t>
      </w:r>
      <w:r>
        <w:rPr>
          <w:rFonts w:hint="eastAsia"/>
          <w:color w:val="000000" w:themeColor="text1"/>
          <w:kern w:val="2"/>
          <w:szCs w:val="24"/>
          <w14:textFill>
            <w14:solidFill>
              <w14:schemeClr w14:val="tx1"/>
            </w14:solidFill>
          </w14:textFill>
        </w:rPr>
        <w:t>提供7天×24小时×365天的电话支持，在30分钟之内响应，可通过服务热线或服务小程序获取支持。</w:t>
      </w:r>
    </w:p>
    <w:p>
      <w:pPr>
        <w:pStyle w:val="4"/>
        <w:widowControl/>
        <w:numPr>
          <w:ilvl w:val="0"/>
          <w:numId w:val="4"/>
        </w:numPr>
        <w:spacing w:beforeAutospacing="0" w:afterAutospacing="0" w:line="360" w:lineRule="auto"/>
        <w:ind w:left="0" w:firstLine="0"/>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安全维护，建设的迁入学校</w:t>
      </w:r>
      <w:r>
        <w:rPr>
          <w:rFonts w:hint="eastAsia"/>
          <w:color w:val="000000" w:themeColor="text1"/>
          <w:kern w:val="2"/>
          <w:szCs w:val="24"/>
          <w14:textFill>
            <w14:solidFill>
              <w14:schemeClr w14:val="tx1"/>
            </w14:solidFill>
          </w14:textFill>
        </w:rPr>
        <w:t>平台</w:t>
      </w:r>
      <w:r>
        <w:rPr>
          <w:color w:val="000000" w:themeColor="text1"/>
          <w:kern w:val="2"/>
          <w:szCs w:val="24"/>
          <w14:textFill>
            <w14:solidFill>
              <w14:schemeClr w14:val="tx1"/>
            </w14:solidFill>
          </w14:textFill>
        </w:rPr>
        <w:t>系统后，中标方也必须提供安全运维与正常访问。所有涉及安全问题，中标方必须提供7*24小时及时响应、服务。</w:t>
      </w:r>
    </w:p>
    <w:p>
      <w:pPr>
        <w:pStyle w:val="4"/>
        <w:widowControl/>
        <w:numPr>
          <w:ilvl w:val="0"/>
          <w:numId w:val="4"/>
        </w:numPr>
        <w:spacing w:beforeAutospacing="0" w:afterAutospacing="0" w:line="360" w:lineRule="auto"/>
        <w:ind w:left="0" w:firstLine="0"/>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日常运维服务：在使用产品过程中遇到的任何技术问题包括产品操作、技术疑难与故障、产品功能，都可以通过电话或服务小程序等方式进行沟通并处理。</w:t>
      </w:r>
    </w:p>
    <w:p>
      <w:pPr>
        <w:pStyle w:val="4"/>
        <w:widowControl/>
        <w:numPr>
          <w:ilvl w:val="0"/>
          <w:numId w:val="4"/>
        </w:numPr>
        <w:spacing w:beforeAutospacing="0" w:afterAutospacing="0" w:line="360" w:lineRule="auto"/>
        <w:ind w:left="0" w:firstLine="0"/>
        <w:rPr>
          <w:color w:val="000000" w:themeColor="text1"/>
          <w:kern w:val="2"/>
          <w:szCs w:val="24"/>
          <w14:textFill>
            <w14:solidFill>
              <w14:schemeClr w14:val="tx1"/>
            </w14:solidFill>
          </w14:textFill>
        </w:rPr>
      </w:pPr>
      <w:r>
        <w:rPr>
          <w:rFonts w:hint="eastAsia" w:ascii="仿宋" w:hAnsi="仿宋" w:eastAsia="仿宋" w:cs="仿宋"/>
          <w:shd w:val="clear" w:color="auto" w:fill="FFFFFF"/>
          <w:lang w:bidi="ar"/>
        </w:rPr>
        <w:t>★</w:t>
      </w:r>
      <w:r>
        <w:rPr>
          <w:rFonts w:hint="eastAsia"/>
          <w:color w:val="000000" w:themeColor="text1"/>
          <w:kern w:val="2"/>
          <w:szCs w:val="24"/>
          <w14:textFill>
            <w14:solidFill>
              <w14:schemeClr w14:val="tx1"/>
            </w14:solidFill>
          </w14:textFill>
        </w:rPr>
        <w:t>在特殊时期，提供整体哀吊日风格，即整体置灰（在采购方提出需求后30分钟内置灰，并配合恢复）。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6D319"/>
    <w:multiLevelType w:val="singleLevel"/>
    <w:tmpl w:val="8E76D319"/>
    <w:lvl w:ilvl="0" w:tentative="0">
      <w:start w:val="1"/>
      <w:numFmt w:val="chineseCounting"/>
      <w:suff w:val="nothing"/>
      <w:lvlText w:val="%1、"/>
      <w:lvlJc w:val="left"/>
      <w:pPr>
        <w:ind w:left="-420" w:firstLine="420"/>
      </w:pPr>
      <w:rPr>
        <w:rFonts w:hint="eastAsia"/>
      </w:rPr>
    </w:lvl>
  </w:abstractNum>
  <w:abstractNum w:abstractNumId="1">
    <w:nsid w:val="BA50EE4F"/>
    <w:multiLevelType w:val="singleLevel"/>
    <w:tmpl w:val="BA50EE4F"/>
    <w:lvl w:ilvl="0" w:tentative="0">
      <w:start w:val="1"/>
      <w:numFmt w:val="decimal"/>
      <w:lvlText w:val="%1."/>
      <w:lvlJc w:val="left"/>
      <w:pPr>
        <w:ind w:left="425" w:hanging="425"/>
      </w:pPr>
      <w:rPr>
        <w:rFonts w:hint="default"/>
      </w:rPr>
    </w:lvl>
  </w:abstractNum>
  <w:abstractNum w:abstractNumId="2">
    <w:nsid w:val="14651BE8"/>
    <w:multiLevelType w:val="multilevel"/>
    <w:tmpl w:val="14651BE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52321"/>
    <w:multiLevelType w:val="multilevel"/>
    <w:tmpl w:val="7A852321"/>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DcxNDQ2YWUxMzRiMjExMmY5ZjU0YTUxZWFhNDkifQ=="/>
  </w:docVars>
  <w:rsids>
    <w:rsidRoot w:val="12DB2CC0"/>
    <w:rsid w:val="12DB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jc w:val="left"/>
    </w:pPr>
    <w:rPr>
      <w:rFonts w:ascii="宋体" w:hAnsi="Tahoma"/>
      <w:sz w:val="28"/>
    </w:rPr>
  </w:style>
  <w:style w:type="paragraph" w:styleId="4">
    <w:name w:val="Normal (Web)"/>
    <w:basedOn w:val="1"/>
    <w:qFormat/>
    <w:uiPriority w:val="0"/>
    <w:pPr>
      <w:spacing w:beforeAutospacing="1" w:afterAutospacing="1"/>
      <w:jc w:val="left"/>
    </w:pPr>
    <w:rPr>
      <w:kern w:val="0"/>
      <w:sz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2023-05-04T05:55:00Z</dcterms:created>
  <dc:creator>陈想平</dc:creator>
  <cp:lastModifiedBy>陈想平</cp:lastModifiedBy>
  <dcterms:modified xsi:type="dcterms:W3CDTF">2023-05-04T05:55:52Z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513D9696AC9949989A62581EB9950CB3_11</vt:lpwstr>
  </property>
</Properties>
</file>