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方正小标宋_GBK" w:hAnsi="方正小标宋_GBK" w:eastAsia="方正小标宋_GBK" w:cs="方正小标宋_GBK"/>
          <w:bCs/>
          <w:sz w:val="36"/>
          <w:szCs w:val="36"/>
        </w:rPr>
      </w:pPr>
      <w:r>
        <w:rPr>
          <w:rFonts w:hint="eastAsia" w:ascii="宋体" w:hAnsi="宋体"/>
          <w:b/>
          <w:bCs/>
          <w:sz w:val="32"/>
          <w:szCs w:val="32"/>
        </w:rPr>
        <w:t>附件2：        课堂教学改革课程评价量表</w:t>
      </w:r>
    </w:p>
    <w:tbl>
      <w:tblPr>
        <w:tblStyle w:val="3"/>
        <w:tblpPr w:leftFromText="180" w:rightFromText="180" w:vertAnchor="text" w:horzAnchor="margin" w:tblpX="-359" w:tblpY="140"/>
        <w:tblW w:w="92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5"/>
        <w:gridCol w:w="5261"/>
        <w:gridCol w:w="851"/>
        <w:gridCol w:w="992"/>
        <w:gridCol w:w="9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6" w:hRule="atLeast"/>
        </w:trPr>
        <w:tc>
          <w:tcPr>
            <w:tcW w:w="1225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黑体" w:eastAsia="黑体"/>
                <w:b/>
                <w:sz w:val="24"/>
              </w:rPr>
            </w:pPr>
            <w:r>
              <w:rPr>
                <w:rFonts w:hint="eastAsia" w:ascii="黑体" w:eastAsia="黑体"/>
                <w:b/>
                <w:sz w:val="24"/>
              </w:rPr>
              <w:t>评价</w:t>
            </w:r>
          </w:p>
          <w:p>
            <w:pPr>
              <w:spacing w:line="240" w:lineRule="exact"/>
              <w:jc w:val="center"/>
              <w:rPr>
                <w:rFonts w:ascii="黑体" w:eastAsia="黑体"/>
                <w:b/>
                <w:sz w:val="24"/>
              </w:rPr>
            </w:pPr>
            <w:r>
              <w:rPr>
                <w:rFonts w:hint="eastAsia" w:ascii="黑体" w:eastAsia="黑体"/>
                <w:b/>
                <w:sz w:val="24"/>
              </w:rPr>
              <w:t>指标</w:t>
            </w:r>
          </w:p>
        </w:tc>
        <w:tc>
          <w:tcPr>
            <w:tcW w:w="5261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黑体" w:eastAsia="黑体"/>
                <w:b/>
                <w:sz w:val="24"/>
              </w:rPr>
            </w:pPr>
            <w:r>
              <w:rPr>
                <w:rFonts w:hint="eastAsia" w:ascii="黑体" w:eastAsia="黑体"/>
                <w:b/>
                <w:sz w:val="24"/>
              </w:rPr>
              <w:t>评价标准</w:t>
            </w:r>
          </w:p>
        </w:tc>
        <w:tc>
          <w:tcPr>
            <w:tcW w:w="2778" w:type="dxa"/>
            <w:gridSpan w:val="3"/>
            <w:vAlign w:val="center"/>
          </w:tcPr>
          <w:p>
            <w:pPr>
              <w:jc w:val="center"/>
              <w:rPr>
                <w:rFonts w:ascii="黑体" w:eastAsia="黑体"/>
                <w:b/>
                <w:sz w:val="24"/>
              </w:rPr>
            </w:pPr>
            <w:r>
              <w:rPr>
                <w:rFonts w:hint="eastAsia" w:ascii="黑体" w:eastAsia="黑体"/>
                <w:b/>
                <w:sz w:val="18"/>
                <w:szCs w:val="18"/>
              </w:rPr>
              <w:t>与评价标准符合程度（权重）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</w:trPr>
        <w:tc>
          <w:tcPr>
            <w:tcW w:w="1225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黑体" w:eastAsia="黑体"/>
                <w:b/>
                <w:szCs w:val="21"/>
              </w:rPr>
            </w:pPr>
          </w:p>
        </w:tc>
        <w:tc>
          <w:tcPr>
            <w:tcW w:w="526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黑体" w:eastAsia="黑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黑体" w:eastAsia="黑体"/>
                <w:b/>
                <w:sz w:val="18"/>
                <w:szCs w:val="18"/>
              </w:rPr>
            </w:pPr>
            <w:r>
              <w:rPr>
                <w:rFonts w:hint="eastAsia" w:ascii="黑体" w:eastAsia="黑体"/>
                <w:b/>
                <w:sz w:val="18"/>
                <w:szCs w:val="18"/>
              </w:rPr>
              <w:t>符合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黑体" w:eastAsia="黑体"/>
                <w:b/>
                <w:sz w:val="18"/>
                <w:szCs w:val="18"/>
              </w:rPr>
            </w:pPr>
            <w:r>
              <w:rPr>
                <w:rFonts w:hint="eastAsia" w:ascii="黑体" w:eastAsia="黑体"/>
                <w:b/>
                <w:sz w:val="18"/>
                <w:szCs w:val="18"/>
              </w:rPr>
              <w:t>基本符合</w:t>
            </w:r>
          </w:p>
        </w:tc>
        <w:tc>
          <w:tcPr>
            <w:tcW w:w="935" w:type="dxa"/>
            <w:vAlign w:val="center"/>
          </w:tcPr>
          <w:p>
            <w:pPr>
              <w:jc w:val="center"/>
              <w:rPr>
                <w:rFonts w:ascii="黑体" w:eastAsia="黑体"/>
                <w:b/>
                <w:sz w:val="18"/>
                <w:szCs w:val="18"/>
              </w:rPr>
            </w:pPr>
            <w:r>
              <w:rPr>
                <w:rFonts w:hint="eastAsia" w:ascii="黑体" w:eastAsia="黑体"/>
                <w:b/>
                <w:sz w:val="18"/>
                <w:szCs w:val="18"/>
              </w:rPr>
              <w:t>不符合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</w:trPr>
        <w:tc>
          <w:tcPr>
            <w:tcW w:w="1225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黑体" w:eastAsia="黑体"/>
                <w:b/>
                <w:szCs w:val="21"/>
              </w:rPr>
            </w:pPr>
          </w:p>
        </w:tc>
        <w:tc>
          <w:tcPr>
            <w:tcW w:w="526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黑体" w:eastAsia="黑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黑体" w:eastAsia="黑体"/>
                <w:sz w:val="24"/>
                <w:szCs w:val="24"/>
              </w:rPr>
            </w:pPr>
            <w:r>
              <w:rPr>
                <w:rFonts w:hint="eastAsia" w:ascii="黑体" w:eastAsia="黑体"/>
                <w:sz w:val="24"/>
                <w:szCs w:val="24"/>
              </w:rPr>
              <w:t>1.0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黑体" w:eastAsia="黑体"/>
                <w:sz w:val="24"/>
                <w:szCs w:val="24"/>
              </w:rPr>
            </w:pPr>
            <w:r>
              <w:rPr>
                <w:rFonts w:hint="eastAsia" w:ascii="黑体" w:eastAsia="黑体"/>
                <w:sz w:val="24"/>
                <w:szCs w:val="24"/>
              </w:rPr>
              <w:t>0.6</w:t>
            </w:r>
          </w:p>
        </w:tc>
        <w:tc>
          <w:tcPr>
            <w:tcW w:w="935" w:type="dxa"/>
            <w:vAlign w:val="center"/>
          </w:tcPr>
          <w:p>
            <w:pPr>
              <w:jc w:val="center"/>
              <w:rPr>
                <w:rFonts w:ascii="黑体" w:eastAsia="黑体"/>
                <w:sz w:val="24"/>
                <w:szCs w:val="24"/>
              </w:rPr>
            </w:pPr>
            <w:r>
              <w:rPr>
                <w:rFonts w:hint="eastAsia" w:ascii="黑体" w:eastAsia="黑体"/>
                <w:sz w:val="24"/>
                <w:szCs w:val="24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83" w:hRule="atLeast"/>
        </w:trPr>
        <w:tc>
          <w:tcPr>
            <w:tcW w:w="1225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color w:val="000000"/>
                <w:sz w:val="24"/>
              </w:rPr>
              <w:t>教学理念</w:t>
            </w:r>
          </w:p>
          <w:p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color w:val="000000"/>
                <w:sz w:val="24"/>
              </w:rPr>
              <w:t>（20分）</w:t>
            </w:r>
          </w:p>
        </w:tc>
        <w:tc>
          <w:tcPr>
            <w:tcW w:w="5261" w:type="dxa"/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color w:val="404040"/>
                <w:sz w:val="22"/>
              </w:rPr>
            </w:pPr>
            <w:r>
              <w:rPr>
                <w:rFonts w:ascii="Times New Roman" w:hAnsi="Times New Roman" w:eastAsia="仿宋" w:cs="Times New Roman"/>
                <w:kern w:val="0"/>
                <w:sz w:val="22"/>
              </w:rPr>
              <w:t>教学理念先进，课程目标科学、明确。重视学生发展需要，将价值塑造、知识传授和能力培养融为一体；实现了从注重知识点传授的“以教为中心”向知识、能力与素质并重的“以学为中心”教学理念转变；</w:t>
            </w:r>
          </w:p>
        </w:tc>
        <w:tc>
          <w:tcPr>
            <w:tcW w:w="851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935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1225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color w:val="000000"/>
                <w:sz w:val="24"/>
              </w:rPr>
              <w:t>教学内容</w:t>
            </w:r>
          </w:p>
          <w:p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color w:val="000000"/>
                <w:sz w:val="24"/>
              </w:rPr>
              <w:t>（20分）</w:t>
            </w:r>
          </w:p>
        </w:tc>
        <w:tc>
          <w:tcPr>
            <w:tcW w:w="5261" w:type="dxa"/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color w:val="404040"/>
                <w:sz w:val="22"/>
              </w:rPr>
            </w:pPr>
            <w:r>
              <w:rPr>
                <w:rFonts w:ascii="Times New Roman" w:hAnsi="Times New Roman" w:eastAsia="仿宋" w:cs="Times New Roman"/>
                <w:kern w:val="0"/>
                <w:sz w:val="22"/>
              </w:rPr>
              <w:t>教学内容充实、有深度、有广度，能将国内外课程领域最新研究成果、前沿知识和企业实际案例、先进生产技术等有机融入，增强教学内容的前沿性和实践性。</w:t>
            </w:r>
          </w:p>
        </w:tc>
        <w:tc>
          <w:tcPr>
            <w:tcW w:w="851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935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2" w:hRule="atLeast"/>
        </w:trPr>
        <w:tc>
          <w:tcPr>
            <w:tcW w:w="1225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color w:val="000000"/>
                <w:sz w:val="24"/>
              </w:rPr>
              <w:t>教学方法</w:t>
            </w:r>
          </w:p>
          <w:p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color w:val="000000"/>
                <w:sz w:val="24"/>
              </w:rPr>
              <w:t>（20分）</w:t>
            </w:r>
          </w:p>
        </w:tc>
        <w:tc>
          <w:tcPr>
            <w:tcW w:w="5261" w:type="dxa"/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color w:val="404040"/>
                <w:sz w:val="22"/>
              </w:rPr>
            </w:pPr>
            <w:r>
              <w:rPr>
                <w:rFonts w:ascii="Times New Roman" w:hAnsi="Times New Roman" w:eastAsia="仿宋" w:cs="Times New Roman"/>
                <w:kern w:val="0"/>
                <w:sz w:val="22"/>
              </w:rPr>
              <w:t>在课堂教学中采用灵活有效的教学方法，充分调动学生学习的积极性、主动性、参与性和创造性,致力于开启学生内在潜力和学习动力，实现了从灌输式向启发式、参与式、讨论式的教学方法的转变。</w:t>
            </w:r>
          </w:p>
        </w:tc>
        <w:tc>
          <w:tcPr>
            <w:tcW w:w="851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935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1" w:hRule="atLeast"/>
        </w:trPr>
        <w:tc>
          <w:tcPr>
            <w:tcW w:w="1225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color w:val="000000"/>
                <w:sz w:val="24"/>
              </w:rPr>
              <w:t>课程考核</w:t>
            </w:r>
          </w:p>
          <w:p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color w:val="000000"/>
                <w:sz w:val="24"/>
              </w:rPr>
              <w:t>（20）</w:t>
            </w:r>
          </w:p>
        </w:tc>
        <w:tc>
          <w:tcPr>
            <w:tcW w:w="5261" w:type="dxa"/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color w:val="404040"/>
                <w:sz w:val="22"/>
              </w:rPr>
            </w:pPr>
            <w:r>
              <w:rPr>
                <w:rFonts w:ascii="Times New Roman" w:hAnsi="Times New Roman" w:eastAsia="仿宋" w:cs="Times New Roman"/>
                <w:kern w:val="0"/>
                <w:sz w:val="22"/>
              </w:rPr>
              <w:t>根据课程的教学目标、内容、方法，开展以学生学习成果为导向的考核评价方式改革，过程性考核与终结性考核有机结合，实现了从重死记硬背、“期末一考定成绩”向重过程性评价的学业评价转变。</w:t>
            </w:r>
          </w:p>
        </w:tc>
        <w:tc>
          <w:tcPr>
            <w:tcW w:w="851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935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7" w:hRule="atLeast"/>
        </w:trPr>
        <w:tc>
          <w:tcPr>
            <w:tcW w:w="1225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color w:val="000000"/>
                <w:sz w:val="24"/>
              </w:rPr>
              <w:t>学生主体</w:t>
            </w:r>
          </w:p>
          <w:p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color w:val="000000"/>
                <w:sz w:val="24"/>
              </w:rPr>
              <w:t>（20分）</w:t>
            </w:r>
          </w:p>
        </w:tc>
        <w:tc>
          <w:tcPr>
            <w:tcW w:w="5261" w:type="dxa"/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color w:val="404040"/>
                <w:sz w:val="22"/>
              </w:rPr>
            </w:pPr>
            <w:r>
              <w:rPr>
                <w:rFonts w:ascii="Times New Roman" w:hAnsi="Times New Roman" w:eastAsia="仿宋" w:cs="Times New Roman"/>
                <w:kern w:val="0"/>
                <w:sz w:val="22"/>
              </w:rPr>
              <w:t>课堂教学中坚持以学生为主体,教师作为学生学习活动的组织者和引导者,实现了学生从被动学习向主动学习的行为转变。</w:t>
            </w:r>
          </w:p>
        </w:tc>
        <w:tc>
          <w:tcPr>
            <w:tcW w:w="851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935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</w:tr>
    </w:tbl>
    <w:p>
      <w:pPr>
        <w:spacing w:line="240" w:lineRule="exact"/>
        <w:jc w:val="left"/>
        <w:rPr>
          <w:rFonts w:ascii="仿宋_GB2312" w:eastAsia="仿宋_GB2312"/>
          <w:sz w:val="24"/>
        </w:rPr>
      </w:pPr>
    </w:p>
    <w:p>
      <w:pPr>
        <w:jc w:val="lef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说明：</w:t>
      </w:r>
      <w:r>
        <w:rPr>
          <w:rFonts w:ascii="仿宋_GB2312" w:eastAsia="仿宋_GB2312"/>
          <w:sz w:val="24"/>
        </w:rPr>
        <w:t>课堂教学改革</w:t>
      </w:r>
      <w:r>
        <w:rPr>
          <w:rFonts w:hint="eastAsia" w:ascii="仿宋_GB2312" w:eastAsia="仿宋_GB2312"/>
          <w:sz w:val="24"/>
        </w:rPr>
        <w:t>课程指</w:t>
      </w:r>
      <w:r>
        <w:rPr>
          <w:rFonts w:ascii="仿宋_GB2312" w:eastAsia="仿宋_GB2312"/>
          <w:sz w:val="24"/>
        </w:rPr>
        <w:t>实施“以学为中心、以教为主导”的</w:t>
      </w:r>
      <w:r>
        <w:rPr>
          <w:rFonts w:hint="eastAsia" w:ascii="仿宋_GB2312" w:eastAsia="仿宋_GB2312"/>
          <w:sz w:val="24"/>
        </w:rPr>
        <w:t>改革，</w:t>
      </w:r>
      <w:r>
        <w:rPr>
          <w:rFonts w:ascii="仿宋_GB2312" w:eastAsia="仿宋_GB2312"/>
          <w:sz w:val="24"/>
        </w:rPr>
        <w:t>做到实现“五个转变”：即从注重知识点传授的“以教为中心”向知识、能力与素质并重的“以学为中心”教学理念转变；从灌输式向启发式、参与式、讨论式的教学方法转变；从重死记硬背、“期末一考定成绩”向重过程性评价的学业评价转变。</w:t>
      </w:r>
    </w:p>
    <w:p>
      <w:pPr>
        <w:rPr>
          <w:rFonts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br w:type="page"/>
      </w:r>
    </w:p>
    <w:p>
      <w:pPr>
        <w:widowControl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课堂教学改革课程认定表</w:t>
      </w:r>
    </w:p>
    <w:p>
      <w:pPr>
        <w:widowControl/>
        <w:jc w:val="left"/>
        <w:rPr>
          <w:rFonts w:ascii="宋体" w:hAnsi="宋体"/>
          <w:b/>
          <w:bCs/>
          <w:sz w:val="28"/>
          <w:szCs w:val="28"/>
          <w:u w:val="single"/>
        </w:rPr>
      </w:pPr>
      <w:r>
        <w:rPr>
          <w:rFonts w:hint="eastAsia" w:ascii="宋体" w:hAnsi="宋体"/>
          <w:b/>
          <w:bCs/>
          <w:sz w:val="28"/>
          <w:szCs w:val="28"/>
        </w:rPr>
        <w:t>专业名称：</w:t>
      </w:r>
      <w:r>
        <w:rPr>
          <w:rFonts w:hint="eastAsia" w:ascii="宋体" w:hAnsi="宋体"/>
          <w:b/>
          <w:bCs/>
          <w:sz w:val="28"/>
          <w:szCs w:val="28"/>
          <w:u w:val="single"/>
        </w:rPr>
        <w:t xml:space="preserve">                   </w:t>
      </w:r>
    </w:p>
    <w:tbl>
      <w:tblPr>
        <w:tblStyle w:val="3"/>
        <w:tblW w:w="95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6"/>
        <w:gridCol w:w="1590"/>
        <w:gridCol w:w="2071"/>
        <w:gridCol w:w="1333"/>
        <w:gridCol w:w="1547"/>
        <w:gridCol w:w="17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125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课程名称</w:t>
            </w:r>
          </w:p>
        </w:tc>
        <w:tc>
          <w:tcPr>
            <w:tcW w:w="4994" w:type="dxa"/>
            <w:gridSpan w:val="3"/>
            <w:vAlign w:val="center"/>
          </w:tcPr>
          <w:p>
            <w:pPr>
              <w:adjustRightInd w:val="0"/>
              <w:snapToGrid w:val="0"/>
              <w:jc w:val="lef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54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授课教师</w:t>
            </w:r>
          </w:p>
        </w:tc>
        <w:tc>
          <w:tcPr>
            <w:tcW w:w="1718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125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开课学期</w:t>
            </w:r>
          </w:p>
        </w:tc>
        <w:tc>
          <w:tcPr>
            <w:tcW w:w="1590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071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课程总学时/学分</w:t>
            </w:r>
          </w:p>
        </w:tc>
        <w:tc>
          <w:tcPr>
            <w:tcW w:w="1333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lef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54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课程性质</w:t>
            </w:r>
          </w:p>
        </w:tc>
        <w:tc>
          <w:tcPr>
            <w:tcW w:w="1718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sym w:font="Wingdings 2" w:char="00A3"/>
            </w:r>
            <w:r>
              <w:rPr>
                <w:rFonts w:hint="eastAsia" w:ascii="仿宋_GB2312" w:hAnsi="宋体" w:eastAsia="仿宋_GB2312"/>
                <w:sz w:val="24"/>
              </w:rPr>
              <w:t>学科基础课</w:t>
            </w:r>
          </w:p>
          <w:p>
            <w:pPr>
              <w:adjustRightInd w:val="0"/>
              <w:snapToGrid w:val="0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□专业课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125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授课专业与班级</w:t>
            </w:r>
          </w:p>
        </w:tc>
        <w:tc>
          <w:tcPr>
            <w:tcW w:w="4994" w:type="dxa"/>
            <w:gridSpan w:val="3"/>
            <w:vAlign w:val="center"/>
          </w:tcPr>
          <w:p>
            <w:pPr>
              <w:adjustRightInd w:val="0"/>
              <w:snapToGrid w:val="0"/>
              <w:spacing w:line="360" w:lineRule="exact"/>
              <w:jc w:val="lef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54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授课地点</w:t>
            </w:r>
          </w:p>
        </w:tc>
        <w:tc>
          <w:tcPr>
            <w:tcW w:w="1718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1256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课程网站</w:t>
            </w:r>
          </w:p>
        </w:tc>
        <w:tc>
          <w:tcPr>
            <w:tcW w:w="8259" w:type="dxa"/>
            <w:gridSpan w:val="5"/>
            <w:vAlign w:val="center"/>
          </w:tcPr>
          <w:p>
            <w:pPr>
              <w:adjustRightInd w:val="0"/>
              <w:snapToGrid w:val="0"/>
              <w:ind w:firstLine="240" w:firstLineChars="100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网址：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1256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59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登录账号</w:t>
            </w:r>
          </w:p>
        </w:tc>
        <w:tc>
          <w:tcPr>
            <w:tcW w:w="3404" w:type="dxa"/>
            <w:gridSpan w:val="2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54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登录密码</w:t>
            </w:r>
          </w:p>
        </w:tc>
        <w:tc>
          <w:tcPr>
            <w:tcW w:w="1718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6" w:hRule="atLeast"/>
          <w:jc w:val="center"/>
        </w:trPr>
        <w:tc>
          <w:tcPr>
            <w:tcW w:w="9515" w:type="dxa"/>
            <w:gridSpan w:val="6"/>
          </w:tcPr>
          <w:p>
            <w:pPr>
              <w:spacing w:beforeLines="50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专业自评意见：</w:t>
            </w:r>
          </w:p>
          <w:p>
            <w:pPr>
              <w:jc w:val="left"/>
              <w:rPr>
                <w:rFonts w:ascii="仿宋_GB2312" w:hAnsi="宋体" w:eastAsia="仿宋_GB2312"/>
                <w:sz w:val="24"/>
              </w:rPr>
            </w:pPr>
          </w:p>
          <w:p>
            <w:pPr>
              <w:jc w:val="left"/>
              <w:rPr>
                <w:rFonts w:ascii="仿宋_GB2312" w:hAnsi="宋体" w:eastAsia="仿宋_GB2312"/>
                <w:sz w:val="24"/>
              </w:rPr>
            </w:pPr>
          </w:p>
          <w:p>
            <w:pPr>
              <w:jc w:val="left"/>
              <w:rPr>
                <w:rFonts w:ascii="仿宋_GB2312" w:hAnsi="宋体" w:eastAsia="仿宋_GB2312"/>
                <w:sz w:val="24"/>
              </w:rPr>
            </w:pPr>
          </w:p>
          <w:p>
            <w:pPr>
              <w:jc w:val="left"/>
              <w:rPr>
                <w:rFonts w:ascii="仿宋_GB2312" w:hAnsi="宋体" w:eastAsia="仿宋_GB2312"/>
                <w:sz w:val="24"/>
              </w:rPr>
            </w:pPr>
          </w:p>
          <w:p>
            <w:pPr>
              <w:jc w:val="left"/>
              <w:rPr>
                <w:rFonts w:ascii="仿宋_GB2312" w:hAnsi="宋体" w:eastAsia="仿宋_GB2312"/>
                <w:sz w:val="24"/>
              </w:rPr>
            </w:pPr>
          </w:p>
          <w:p>
            <w:pPr>
              <w:jc w:val="left"/>
              <w:rPr>
                <w:rFonts w:ascii="仿宋_GB2312" w:hAnsi="宋体" w:eastAsia="仿宋_GB2312"/>
                <w:sz w:val="24"/>
              </w:rPr>
            </w:pPr>
          </w:p>
          <w:p>
            <w:pPr>
              <w:jc w:val="left"/>
              <w:rPr>
                <w:rFonts w:ascii="仿宋_GB2312" w:hAnsi="宋体" w:eastAsia="仿宋_GB2312"/>
                <w:sz w:val="24"/>
              </w:rPr>
            </w:pPr>
          </w:p>
          <w:p>
            <w:pPr>
              <w:jc w:val="left"/>
              <w:rPr>
                <w:rFonts w:ascii="仿宋_GB2312" w:hAnsi="宋体" w:eastAsia="仿宋_GB2312"/>
                <w:sz w:val="24"/>
              </w:rPr>
            </w:pPr>
          </w:p>
          <w:p>
            <w:pPr>
              <w:spacing w:line="500" w:lineRule="exact"/>
              <w:ind w:firstLine="420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自评分：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u w:val="single"/>
              </w:rPr>
              <w:t xml:space="preserve">        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                             </w:t>
            </w:r>
            <w:r>
              <w:rPr>
                <w:rFonts w:hint="eastAsia" w:ascii="仿宋_GB2312" w:hAnsi="宋体" w:eastAsia="仿宋_GB2312"/>
                <w:sz w:val="24"/>
              </w:rPr>
              <w:t xml:space="preserve">负责人（签字）：    </w:t>
            </w:r>
          </w:p>
          <w:p>
            <w:pPr>
              <w:spacing w:line="500" w:lineRule="exact"/>
              <w:ind w:firstLine="422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               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9" w:hRule="atLeast"/>
          <w:jc w:val="center"/>
        </w:trPr>
        <w:tc>
          <w:tcPr>
            <w:tcW w:w="9515" w:type="dxa"/>
            <w:gridSpan w:val="6"/>
            <w:vAlign w:val="center"/>
          </w:tcPr>
          <w:p>
            <w:pPr>
              <w:spacing w:beforeLines="50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学院意见：</w:t>
            </w:r>
          </w:p>
          <w:p>
            <w:pPr>
              <w:jc w:val="left"/>
              <w:rPr>
                <w:rFonts w:ascii="仿宋_GB2312" w:hAnsi="宋体" w:eastAsia="仿宋_GB2312"/>
                <w:sz w:val="24"/>
              </w:rPr>
            </w:pPr>
          </w:p>
          <w:p>
            <w:pPr>
              <w:jc w:val="left"/>
              <w:rPr>
                <w:rFonts w:ascii="仿宋_GB2312" w:hAnsi="宋体" w:eastAsia="仿宋_GB2312"/>
                <w:sz w:val="24"/>
              </w:rPr>
            </w:pPr>
          </w:p>
          <w:p>
            <w:pPr>
              <w:jc w:val="left"/>
              <w:rPr>
                <w:rFonts w:ascii="仿宋_GB2312" w:hAnsi="宋体" w:eastAsia="仿宋_GB2312"/>
                <w:sz w:val="24"/>
              </w:rPr>
            </w:pPr>
          </w:p>
          <w:p>
            <w:pPr>
              <w:jc w:val="left"/>
              <w:rPr>
                <w:rFonts w:ascii="仿宋_GB2312" w:hAnsi="宋体" w:eastAsia="仿宋_GB2312"/>
                <w:sz w:val="24"/>
              </w:rPr>
            </w:pPr>
          </w:p>
          <w:p>
            <w:pPr>
              <w:jc w:val="left"/>
              <w:rPr>
                <w:rFonts w:ascii="仿宋_GB2312" w:hAnsi="宋体" w:eastAsia="仿宋_GB2312"/>
                <w:sz w:val="24"/>
              </w:rPr>
            </w:pPr>
          </w:p>
          <w:p>
            <w:pPr>
              <w:jc w:val="left"/>
              <w:rPr>
                <w:rFonts w:ascii="仿宋_GB2312" w:hAnsi="宋体" w:eastAsia="仿宋_GB2312"/>
                <w:sz w:val="24"/>
              </w:rPr>
            </w:pPr>
          </w:p>
          <w:p>
            <w:pPr>
              <w:jc w:val="left"/>
              <w:rPr>
                <w:rFonts w:ascii="仿宋_GB2312" w:hAnsi="宋体" w:eastAsia="仿宋_GB2312"/>
                <w:sz w:val="24"/>
              </w:rPr>
            </w:pPr>
          </w:p>
          <w:p>
            <w:pPr>
              <w:jc w:val="left"/>
              <w:rPr>
                <w:rFonts w:ascii="仿宋_GB2312" w:hAnsi="宋体" w:eastAsia="仿宋_GB2312"/>
                <w:sz w:val="24"/>
              </w:rPr>
            </w:pPr>
          </w:p>
          <w:p>
            <w:pPr>
              <w:spacing w:line="400" w:lineRule="exact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               </w:t>
            </w:r>
            <w:r>
              <w:rPr>
                <w:rFonts w:hint="eastAsia" w:ascii="仿宋_GB2312" w:hAnsi="宋体" w:eastAsia="仿宋_GB2312"/>
                <w:sz w:val="24"/>
              </w:rPr>
              <w:t>负责人（签字）：         （盖章）</w:t>
            </w:r>
          </w:p>
          <w:p>
            <w:pPr>
              <w:spacing w:line="500" w:lineRule="exact"/>
              <w:ind w:firstLine="422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                                                      年     月    日</w:t>
            </w:r>
          </w:p>
        </w:tc>
      </w:tr>
    </w:tbl>
    <w:p>
      <w:pPr>
        <w:pStyle w:val="2"/>
        <w:spacing w:before="0" w:beforeAutospacing="0" w:after="0" w:afterAutospacing="0"/>
        <w:ind w:left="660" w:right="-82" w:rightChars="-39" w:hanging="660" w:hangingChars="300"/>
        <w:rPr>
          <w:rFonts w:ascii="仿宋" w:hAnsi="仿宋" w:eastAsia="仿宋" w:cs="仿宋"/>
          <w:bCs/>
          <w:sz w:val="22"/>
          <w:szCs w:val="22"/>
        </w:rPr>
      </w:pPr>
      <w:r>
        <w:rPr>
          <w:rFonts w:hint="eastAsia" w:ascii="仿宋" w:hAnsi="仿宋" w:eastAsia="仿宋" w:cs="仿宋"/>
          <w:bCs/>
          <w:sz w:val="22"/>
          <w:szCs w:val="22"/>
        </w:rPr>
        <w:t>注：1.该类课程主要考查课堂教学改革，实践类课程不能参加本类课程认定。</w:t>
      </w:r>
    </w:p>
    <w:p>
      <w:pPr>
        <w:pStyle w:val="2"/>
        <w:spacing w:before="0" w:beforeAutospacing="0" w:after="0" w:afterAutospacing="0"/>
        <w:ind w:right="-82" w:rightChars="-39" w:firstLine="440" w:firstLineChars="200"/>
        <w:rPr>
          <w:rFonts w:ascii="仿宋" w:hAnsi="仿宋" w:eastAsia="仿宋" w:cs="仿宋"/>
          <w:bCs/>
          <w:sz w:val="22"/>
          <w:szCs w:val="22"/>
        </w:rPr>
      </w:pPr>
      <w:r>
        <w:rPr>
          <w:rFonts w:hint="eastAsia" w:ascii="仿宋" w:hAnsi="仿宋" w:eastAsia="仿宋" w:cs="仿宋"/>
          <w:bCs/>
          <w:sz w:val="22"/>
          <w:szCs w:val="22"/>
        </w:rPr>
        <w:t>2.如该课程符合混合式教学课程认定条件，可同时参加混合式教学课程认定。</w:t>
      </w:r>
    </w:p>
    <w:p>
      <w:pPr>
        <w:pStyle w:val="2"/>
        <w:spacing w:before="0" w:beforeAutospacing="0" w:after="0" w:afterAutospacing="0"/>
        <w:ind w:right="-82" w:rightChars="-39" w:firstLine="440" w:firstLineChars="200"/>
        <w:rPr>
          <w:rFonts w:ascii="仿宋" w:hAnsi="仿宋" w:eastAsia="仿宋" w:cs="仿宋"/>
          <w:bCs/>
          <w:sz w:val="22"/>
          <w:szCs w:val="22"/>
        </w:rPr>
      </w:pPr>
      <w:r>
        <w:rPr>
          <w:rFonts w:hint="eastAsia" w:ascii="仿宋" w:hAnsi="仿宋" w:eastAsia="仿宋" w:cs="仿宋"/>
          <w:bCs/>
          <w:sz w:val="22"/>
          <w:szCs w:val="22"/>
        </w:rPr>
        <w:t>3.如同一专业本课程有多名教师授课，只择优推荐其中一名教师参加认定。</w:t>
      </w:r>
    </w:p>
    <w:p>
      <w:pPr>
        <w:pStyle w:val="2"/>
        <w:spacing w:before="0" w:beforeAutospacing="0" w:after="0" w:afterAutospacing="0"/>
        <w:ind w:right="-82" w:rightChars="-39" w:firstLine="440" w:firstLineChars="200"/>
        <w:rPr>
          <w:rFonts w:ascii="仿宋" w:hAnsi="仿宋" w:eastAsia="仿宋" w:cs="仿宋"/>
          <w:bCs/>
          <w:sz w:val="22"/>
          <w:szCs w:val="22"/>
        </w:rPr>
      </w:pPr>
      <w:r>
        <w:rPr>
          <w:rFonts w:hint="eastAsia" w:ascii="仿宋" w:hAnsi="仿宋" w:eastAsia="仿宋" w:cs="仿宋"/>
          <w:bCs/>
          <w:sz w:val="22"/>
          <w:szCs w:val="22"/>
        </w:rPr>
        <w:t>4.如同一门课程有多个专业上课，且采用的授课方式完全一致，可一表多用（即各专业分别提交同一份认定表）。</w:t>
      </w:r>
    </w:p>
    <w:p>
      <w:pPr>
        <w:pageBreakBefore/>
        <w:adjustRightInd w:val="0"/>
        <w:snapToGrid w:val="0"/>
        <w:spacing w:line="360" w:lineRule="auto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《××》课程实施总结报告</w:t>
      </w:r>
    </w:p>
    <w:p>
      <w:pPr>
        <w:autoSpaceDE w:val="0"/>
        <w:autoSpaceDN w:val="0"/>
        <w:adjustRightInd w:val="0"/>
        <w:ind w:firstLine="120" w:firstLineChars="50"/>
        <w:rPr>
          <w:rFonts w:ascii="宋体" w:hAnsi="宋体" w:cs="宋体"/>
          <w:b/>
          <w:kern w:val="0"/>
          <w:sz w:val="24"/>
          <w:szCs w:val="24"/>
        </w:rPr>
      </w:pPr>
      <w:r>
        <w:rPr>
          <w:rFonts w:hint="eastAsia" w:ascii="宋体" w:hAnsi="宋体" w:cs="宋体"/>
          <w:b/>
          <w:kern w:val="0"/>
          <w:sz w:val="24"/>
          <w:szCs w:val="24"/>
        </w:rPr>
        <w:t>专业名称：</w:t>
      </w:r>
      <w:r>
        <w:rPr>
          <w:rFonts w:hint="eastAsia" w:ascii="宋体" w:hAnsi="宋体" w:cs="宋体"/>
          <w:b/>
          <w:kern w:val="0"/>
          <w:sz w:val="24"/>
          <w:szCs w:val="24"/>
          <w:u w:val="single"/>
        </w:rPr>
        <w:t xml:space="preserve">                        </w:t>
      </w:r>
    </w:p>
    <w:p>
      <w:pPr>
        <w:autoSpaceDE w:val="0"/>
        <w:autoSpaceDN w:val="0"/>
        <w:adjustRightInd w:val="0"/>
        <w:ind w:firstLine="120" w:firstLineChars="50"/>
        <w:rPr>
          <w:rFonts w:ascii="宋体" w:hAnsi="宋体" w:cs="宋体"/>
          <w:b/>
          <w:kern w:val="0"/>
          <w:sz w:val="24"/>
          <w:szCs w:val="24"/>
        </w:rPr>
      </w:pPr>
    </w:p>
    <w:p>
      <w:pPr>
        <w:autoSpaceDE w:val="0"/>
        <w:autoSpaceDN w:val="0"/>
        <w:adjustRightInd w:val="0"/>
        <w:ind w:firstLine="120" w:firstLineChars="50"/>
        <w:rPr>
          <w:rFonts w:ascii="宋体" w:hAnsi="宋体" w:cs="宋体"/>
          <w:kern w:val="0"/>
          <w:sz w:val="24"/>
          <w:szCs w:val="24"/>
          <w:u w:val="single"/>
        </w:rPr>
      </w:pPr>
      <w:r>
        <w:rPr>
          <w:rFonts w:hint="eastAsia" w:ascii="宋体" w:hAnsi="宋体" w:cs="宋体"/>
          <w:b/>
          <w:kern w:val="0"/>
          <w:sz w:val="24"/>
          <w:szCs w:val="24"/>
        </w:rPr>
        <w:t>申请认定课程类型：</w:t>
      </w:r>
      <w:r>
        <w:rPr>
          <w:rFonts w:hint="eastAsia" w:ascii="宋体" w:hAnsi="宋体" w:cs="宋体"/>
          <w:kern w:val="0"/>
          <w:sz w:val="24"/>
          <w:szCs w:val="24"/>
          <w:u w:val="single"/>
        </w:rPr>
        <w:t>课堂教学改革课程</w:t>
      </w:r>
    </w:p>
    <w:p>
      <w:pPr>
        <w:autoSpaceDE w:val="0"/>
        <w:autoSpaceDN w:val="0"/>
        <w:adjustRightInd w:val="0"/>
        <w:ind w:firstLine="120" w:firstLineChars="50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(报告字数限制在2000字以内)</w:t>
      </w:r>
    </w:p>
    <w:p>
      <w:pPr>
        <w:autoSpaceDE w:val="0"/>
        <w:autoSpaceDN w:val="0"/>
        <w:adjustRightInd w:val="0"/>
        <w:ind w:firstLine="120" w:firstLineChars="50"/>
        <w:rPr>
          <w:rFonts w:ascii="宋体" w:hAnsi="宋体" w:cs="宋体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ind w:firstLine="120" w:firstLineChars="50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b/>
          <w:kern w:val="0"/>
          <w:sz w:val="24"/>
          <w:szCs w:val="24"/>
        </w:rPr>
        <w:t>1.课程建设总体情况</w:t>
      </w:r>
      <w:r>
        <w:rPr>
          <w:rFonts w:hint="eastAsia" w:ascii="宋体" w:hAnsi="宋体" w:cs="宋体"/>
          <w:kern w:val="0"/>
          <w:sz w:val="24"/>
          <w:szCs w:val="24"/>
        </w:rPr>
        <w:t>（课堂教学改革的理念与目标、课程教学改革立项、课程评估、教学实施等基本情况）。</w:t>
      </w:r>
    </w:p>
    <w:p>
      <w:pPr>
        <w:autoSpaceDE w:val="0"/>
        <w:autoSpaceDN w:val="0"/>
        <w:adjustRightInd w:val="0"/>
        <w:rPr>
          <w:rFonts w:ascii="宋体" w:hAnsi="宋体" w:cs="宋体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ind w:firstLine="120" w:firstLineChars="50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b/>
          <w:kern w:val="0"/>
          <w:sz w:val="24"/>
          <w:szCs w:val="24"/>
        </w:rPr>
        <w:t>2.课程网络资源建设情况</w:t>
      </w:r>
      <w:r>
        <w:rPr>
          <w:rFonts w:hint="eastAsia" w:ascii="宋体" w:hAnsi="宋体" w:cs="宋体"/>
          <w:kern w:val="0"/>
          <w:sz w:val="24"/>
          <w:szCs w:val="24"/>
        </w:rPr>
        <w:t>(课程教学视频制作，课程教学大纲、教学计划、PPT课件、阅读材料、参考资料、试题库、课间提问、讨论区等其他数字化教学资源建设情况）。</w:t>
      </w:r>
    </w:p>
    <w:p>
      <w:pPr>
        <w:autoSpaceDE w:val="0"/>
        <w:autoSpaceDN w:val="0"/>
        <w:adjustRightInd w:val="0"/>
        <w:ind w:firstLine="120" w:firstLineChars="50"/>
        <w:rPr>
          <w:rFonts w:ascii="宋体" w:hAnsi="宋体" w:cs="宋体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ind w:firstLine="120" w:firstLineChars="50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b/>
          <w:kern w:val="0"/>
          <w:sz w:val="24"/>
          <w:szCs w:val="24"/>
        </w:rPr>
        <w:t>3.教学内容的先进性</w:t>
      </w:r>
      <w:r>
        <w:rPr>
          <w:rFonts w:hint="eastAsia" w:ascii="宋体" w:hAnsi="宋体" w:cs="宋体"/>
          <w:kern w:val="0"/>
          <w:sz w:val="24"/>
          <w:szCs w:val="24"/>
        </w:rPr>
        <w:t>（有机融入哪些国内外课程领域最新研究成果、前沿知识和企业实际案例、先进生产技术等，体现教学内容的前沿性和实践性）</w:t>
      </w:r>
    </w:p>
    <w:p>
      <w:pPr>
        <w:autoSpaceDE w:val="0"/>
        <w:autoSpaceDN w:val="0"/>
        <w:adjustRightInd w:val="0"/>
        <w:ind w:firstLine="120" w:firstLineChars="50"/>
        <w:rPr>
          <w:rFonts w:ascii="宋体" w:hAnsi="宋体" w:cs="宋体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ind w:firstLine="120" w:firstLineChars="50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b/>
          <w:kern w:val="0"/>
          <w:sz w:val="24"/>
          <w:szCs w:val="24"/>
        </w:rPr>
        <w:t>4.教学方法改革</w:t>
      </w:r>
      <w:r>
        <w:rPr>
          <w:rFonts w:hint="eastAsia" w:ascii="宋体" w:hAnsi="宋体" w:cs="宋体"/>
          <w:kern w:val="0"/>
          <w:sz w:val="24"/>
          <w:szCs w:val="24"/>
        </w:rPr>
        <w:t>（在课堂教学中如何调动学生学习的积极性、主动性，激发学生内在潜力和学习动力，实现</w:t>
      </w:r>
      <w:r>
        <w:rPr>
          <w:rFonts w:ascii="宋体" w:hAnsi="宋体" w:cs="宋体"/>
          <w:kern w:val="0"/>
          <w:sz w:val="24"/>
          <w:szCs w:val="24"/>
        </w:rPr>
        <w:t>教学方法</w:t>
      </w:r>
      <w:r>
        <w:rPr>
          <w:rFonts w:hint="eastAsia" w:ascii="宋体" w:hAnsi="宋体" w:cs="宋体"/>
          <w:kern w:val="0"/>
          <w:sz w:val="24"/>
          <w:szCs w:val="24"/>
        </w:rPr>
        <w:t>、教师教学活动中的角色、学生学习行为的转变）。</w:t>
      </w:r>
    </w:p>
    <w:p>
      <w:pPr>
        <w:autoSpaceDE w:val="0"/>
        <w:autoSpaceDN w:val="0"/>
        <w:adjustRightInd w:val="0"/>
        <w:ind w:firstLine="120" w:firstLineChars="50"/>
        <w:rPr>
          <w:rFonts w:ascii="宋体" w:hAnsi="宋体" w:cs="宋体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ind w:firstLine="120" w:firstLineChars="50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b/>
          <w:kern w:val="0"/>
          <w:sz w:val="24"/>
          <w:szCs w:val="24"/>
        </w:rPr>
        <w:t>5.课程考核</w:t>
      </w:r>
      <w:r>
        <w:rPr>
          <w:rFonts w:hint="eastAsia" w:ascii="宋体" w:hAnsi="宋体" w:cs="宋体"/>
          <w:kern w:val="0"/>
          <w:sz w:val="24"/>
          <w:szCs w:val="24"/>
        </w:rPr>
        <w:t>（课程考核评价方式如何改革，体现过程性考核与终结性考核的有机结合）。</w:t>
      </w:r>
    </w:p>
    <w:p>
      <w:pPr>
        <w:autoSpaceDE w:val="0"/>
        <w:autoSpaceDN w:val="0"/>
        <w:adjustRightInd w:val="0"/>
        <w:rPr>
          <w:rFonts w:ascii="宋体" w:hAnsi="宋体" w:cs="宋体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ind w:firstLine="120" w:firstLineChars="50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b/>
          <w:kern w:val="0"/>
          <w:sz w:val="24"/>
          <w:szCs w:val="24"/>
        </w:rPr>
        <w:t>6.经验总结与后续工作计划</w:t>
      </w:r>
      <w:r>
        <w:rPr>
          <w:rFonts w:hint="eastAsia" w:ascii="宋体" w:hAnsi="宋体" w:cs="宋体"/>
          <w:kern w:val="0"/>
          <w:sz w:val="24"/>
          <w:szCs w:val="24"/>
        </w:rPr>
        <w:t>（包括课程改革的有价值经验总结、存在的问题与不足、后续改进措施等）。</w:t>
      </w:r>
    </w:p>
    <w:p>
      <w:pPr>
        <w:autoSpaceDE w:val="0"/>
        <w:autoSpaceDN w:val="0"/>
        <w:adjustRightInd w:val="0"/>
        <w:ind w:firstLine="120" w:firstLineChars="50"/>
        <w:rPr>
          <w:rFonts w:ascii="宋体" w:hAnsi="宋体" w:cs="宋体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ind w:firstLine="120" w:firstLineChars="50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b/>
          <w:kern w:val="0"/>
          <w:sz w:val="24"/>
          <w:szCs w:val="24"/>
        </w:rPr>
        <w:t>7.佐证材料清单</w:t>
      </w:r>
      <w:r>
        <w:rPr>
          <w:rFonts w:hint="eastAsia" w:ascii="宋体" w:hAnsi="宋体" w:cs="宋体"/>
          <w:kern w:val="0"/>
          <w:sz w:val="24"/>
          <w:szCs w:val="24"/>
        </w:rPr>
        <w:t>(课程教学大纲、讲义课件、学生评价反馈材料、问卷调查材料、学生作业、课程考核或其它材料等，课程网站等佐证材料备专家现场考查) 。</w:t>
      </w:r>
    </w:p>
    <w:p>
      <w:pPr>
        <w:autoSpaceDE w:val="0"/>
        <w:autoSpaceDN w:val="0"/>
        <w:adjustRightInd w:val="0"/>
        <w:ind w:firstLine="120" w:firstLineChars="50"/>
        <w:rPr>
          <w:rFonts w:ascii="宋体" w:hAnsi="宋体" w:cs="宋体"/>
          <w:kern w:val="0"/>
          <w:sz w:val="24"/>
          <w:szCs w:val="24"/>
        </w:rPr>
      </w:pPr>
    </w:p>
    <w:p/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Arial Unicode MS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923013"/>
    <w:rsid w:val="08923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2021-11-03T08:36:00Z</dcterms:created>
  <dc:creator>Y</dc:creator>
  <cp:lastModifiedBy>Y</cp:lastModifiedBy>
  <dcterms:modified xsi:type="dcterms:W3CDTF">2021-11-03T08:37:02Z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