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0" w:lineRule="atLeast"/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</w:pP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东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莞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理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工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学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院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教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评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中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</w:t>
      </w:r>
      <w:r>
        <w:rPr>
          <w:rFonts w:hint="eastAsia" w:ascii="Times New Roman" w:hAnsi="Times New Roman" w:eastAsia="方正姚体"/>
          <w:bCs/>
          <w:color w:val="FF0000"/>
          <w:sz w:val="52"/>
          <w:szCs w:val="52"/>
          <w:u w:val="single"/>
        </w:rPr>
        <w:t>心</w:t>
      </w:r>
      <w:r>
        <w:rPr>
          <w:rFonts w:ascii="Times New Roman" w:hAnsi="Times New Roman" w:eastAsia="方正姚体"/>
          <w:bCs/>
          <w:color w:val="FF0000"/>
          <w:sz w:val="52"/>
          <w:szCs w:val="52"/>
          <w:u w:val="single"/>
        </w:rPr>
        <w:t xml:space="preserve">        </w:t>
      </w:r>
    </w:p>
    <w:p>
      <w:pPr>
        <w:spacing w:line="360" w:lineRule="auto"/>
        <w:ind w:firstLine="570"/>
        <w:jc w:val="right"/>
        <w:rPr>
          <w:sz w:val="28"/>
          <w:szCs w:val="15"/>
        </w:rPr>
      </w:pPr>
      <w:r>
        <w:rPr>
          <w:sz w:val="28"/>
          <w:szCs w:val="15"/>
        </w:rPr>
        <w:t xml:space="preserve">                                      </w:t>
      </w:r>
      <w:r>
        <w:rPr>
          <w:rFonts w:hint="eastAsia" w:ascii="宋体" w:hAnsi="宋体"/>
        </w:rPr>
        <w:t>教评通[2021]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 xml:space="preserve"> 号</w:t>
      </w:r>
    </w:p>
    <w:p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关于开展2021年本科教学状态数据采集的通知</w:t>
      </w:r>
    </w:p>
    <w:p>
      <w:pPr>
        <w:tabs>
          <w:tab w:val="left" w:pos="709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</w:t>
      </w:r>
    </w:p>
    <w:p>
      <w:pPr>
        <w:tabs>
          <w:tab w:val="left" w:pos="709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各二级组织机构：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开展本科教学基本状态数据采集是我国高等教育</w:t>
      </w:r>
      <w:r>
        <w:rPr>
          <w:rFonts w:ascii="宋体" w:hAnsi="宋体"/>
          <w:sz w:val="24"/>
          <w:szCs w:val="24"/>
        </w:rPr>
        <w:t>“五位一体”教学评估体系</w:t>
      </w:r>
      <w:r>
        <w:rPr>
          <w:rFonts w:hint="eastAsia" w:ascii="宋体" w:hAnsi="宋体"/>
          <w:sz w:val="24"/>
          <w:szCs w:val="24"/>
        </w:rPr>
        <w:t>建设的内容之一，是推动高等教育内涵式发展的重要举措。根据国务院教育督导委员会办公室《关于做好“高等教育质量监测国家数据平台”2021年监测数据填报工作的通知》及学校工作部署，即日启动20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1年本科基本状态数据填报工作。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一、数据采集的目的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本年度采集的数据将用于教育部教学基本状态数据上报、本科专业评估、二级学院教学质量指数和学校教</w:t>
      </w:r>
      <w:r>
        <w:rPr>
          <w:rFonts w:hint="eastAsia" w:ascii="宋体" w:hAnsi="宋体"/>
          <w:color w:val="000000"/>
          <w:sz w:val="24"/>
          <w:szCs w:val="24"/>
        </w:rPr>
        <w:t>学质量年度报告。为提高数据采集工作的效率，教学质量监测与评估中心（以下简称“教评中心”）整合了上述工作的数据需求，做到“一次采集，多种应用”。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二、数据采集方式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数据采集采取网上填报的方式，由教评中心为各责任单位分配用户账号和密码，登陆东莞理工学院教学基本状态数据库及评估系统(网址：jxjc.dgut.edu.cn)进行数据填报。数据填报前要认真阅读《高等教育质量监测国家数据平台用户操作指南(20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1)》、《</w:t>
      </w:r>
      <w:r>
        <w:rPr>
          <w:rFonts w:ascii="宋体" w:hAnsi="宋体" w:cs="宋体"/>
          <w:kern w:val="0"/>
          <w:sz w:val="24"/>
          <w:szCs w:val="24"/>
        </w:rPr>
        <w:t>东莞理工学院二级学院教学质量指数编制办法</w:t>
      </w:r>
      <w:r>
        <w:rPr>
          <w:rFonts w:hint="eastAsia" w:ascii="宋体" w:hAnsi="宋体" w:cs="宋体"/>
          <w:kern w:val="0"/>
          <w:sz w:val="24"/>
          <w:szCs w:val="24"/>
        </w:rPr>
        <w:t>》、《东莞理工学院2021-2022学年本科专业评估实施方案》</w:t>
      </w:r>
      <w:r>
        <w:rPr>
          <w:rFonts w:hint="eastAsia" w:ascii="宋体" w:hAnsi="宋体"/>
          <w:sz w:val="24"/>
          <w:szCs w:val="24"/>
        </w:rPr>
        <w:t>等文件，准确理解数据内涵。为减少重复性工作，教评中心对教育部教学</w:t>
      </w:r>
      <w:r>
        <w:rPr>
          <w:rFonts w:hint="eastAsia" w:ascii="宋体" w:hAnsi="宋体" w:cs="宋体"/>
          <w:kern w:val="0"/>
          <w:sz w:val="24"/>
          <w:szCs w:val="24"/>
        </w:rPr>
        <w:t>基本状态数据的模板进行合理的修改，根据需求进行表格内容的增加，保证数据可满足多项需求。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三、工作进程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本次数采集仍沿用分散采集上传、集中审核的工作模式，由各相关二级组织机构直接负责数据采集工作。数据采集工作共分四个阶段进行：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第一阶段：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</w:t>
      </w:r>
      <w:r>
        <w:rPr>
          <w:rFonts w:ascii="宋体" w:hAnsi="宋体" w:cs="宋体"/>
          <w:b/>
          <w:bCs/>
          <w:kern w:val="0"/>
          <w:sz w:val="24"/>
          <w:szCs w:val="24"/>
        </w:rPr>
        <w:t>9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月23日</w:t>
      </w:r>
      <w:r>
        <w:rPr>
          <w:rFonts w:ascii="宋体" w:hAnsi="宋体" w:cs="宋体"/>
          <w:b/>
          <w:bCs/>
          <w:kern w:val="0"/>
          <w:sz w:val="24"/>
          <w:szCs w:val="24"/>
        </w:rPr>
        <w:t>—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月30日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，工作部署与</w:t>
      </w:r>
      <w:r>
        <w:rPr>
          <w:rFonts w:hint="eastAsia" w:ascii="宋体" w:hAnsi="宋体" w:cs="宋体"/>
          <w:b/>
          <w:kern w:val="0"/>
          <w:sz w:val="24"/>
          <w:szCs w:val="24"/>
        </w:rPr>
        <w:t>人员培训。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．部署</w:t>
      </w:r>
      <w:r>
        <w:rPr>
          <w:rFonts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</w:rPr>
        <w:t>1年教学状态数据采集工作。</w:t>
      </w:r>
    </w:p>
    <w:p>
      <w:pPr>
        <w:widowControl/>
        <w:tabs>
          <w:tab w:val="left" w:pos="709"/>
        </w:tabs>
        <w:snapToGrid w:val="0"/>
        <w:spacing w:line="360" w:lineRule="auto"/>
        <w:ind w:firstLine="36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2</w:t>
      </w:r>
      <w:r>
        <w:rPr>
          <w:rFonts w:hint="eastAsia" w:ascii="宋体" w:hAnsi="宋体" w:cs="宋体"/>
          <w:kern w:val="0"/>
          <w:sz w:val="24"/>
          <w:szCs w:val="24"/>
        </w:rPr>
        <w:t>．各相关二级组织机构上报数据采集填报人。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3．由教评中心对各相关二级组织机构填报人进行数据填报流程培训。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第二阶段：20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1年10月8日</w:t>
      </w:r>
      <w:r>
        <w:rPr>
          <w:rFonts w:ascii="宋体" w:hAnsi="宋体" w:cs="宋体"/>
          <w:b/>
          <w:bCs/>
          <w:kern w:val="0"/>
          <w:sz w:val="24"/>
          <w:szCs w:val="24"/>
        </w:rPr>
        <w:t>—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1年10月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日，基础数据表的录入与审核。</w:t>
      </w:r>
    </w:p>
    <w:p>
      <w:pPr>
        <w:tabs>
          <w:tab w:val="left" w:pos="709"/>
        </w:tabs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1．优先填报作为系统数据字典的基础性数据。基础数据表中的数据要作为数据字典被其它表格数据关联调用，需要优先录入系统中。</w:t>
      </w:r>
    </w:p>
    <w:p>
      <w:pPr>
        <w:tabs>
          <w:tab w:val="left" w:pos="709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基础数据</w:t>
      </w:r>
      <w:r>
        <w:rPr>
          <w:rFonts w:hint="eastAsia" w:ascii="宋体" w:hAnsi="宋体" w:cs="宋体"/>
          <w:kern w:val="0"/>
          <w:sz w:val="24"/>
          <w:szCs w:val="24"/>
        </w:rPr>
        <w:t>由校办、人资处、教务处、资产处</w:t>
      </w:r>
      <w:r>
        <w:rPr>
          <w:rFonts w:hint="eastAsia" w:ascii="宋体" w:hAnsi="宋体"/>
          <w:kern w:val="0"/>
          <w:sz w:val="24"/>
          <w:szCs w:val="24"/>
        </w:rPr>
        <w:t>等责任单位负责填报。基础数据表包括：“</w:t>
      </w:r>
      <w:r>
        <w:rPr>
          <w:rFonts w:hint="eastAsia" w:ascii="宋体" w:hAnsi="宋体" w:cs="宋体"/>
          <w:kern w:val="0"/>
          <w:sz w:val="24"/>
          <w:szCs w:val="24"/>
        </w:rPr>
        <w:t>表1-2学校相关党政单位”、“表1-3学校教学科研单位”、“表1-4-1专业基本情况”、表1-4-2专业大类情况表、“表1-5-1教职工基本信息”、表“1-5-2教职工其他信息”、“表1-5-3外聘和兼职教师基本信息”、表“1-6本科生基本情况”、“1-7-1本科实验场所”、1-7-2科研基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“表5-1-1开课情况”。</w:t>
      </w:r>
    </w:p>
    <w:p>
      <w:pPr>
        <w:tabs>
          <w:tab w:val="left" w:pos="709"/>
        </w:tabs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 基础数据涉及全校数据的准确性和一致性，须由各二级组织机构负责人审核通过后方可完成线上填报。</w:t>
      </w:r>
      <w:bookmarkStart w:id="0" w:name="_GoBack"/>
      <w:bookmarkEnd w:id="0"/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第三阶段：20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1年1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1年10月3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日，其它数据的录入与提交。</w:t>
      </w:r>
    </w:p>
    <w:p>
      <w:pPr>
        <w:tabs>
          <w:tab w:val="left" w:pos="709"/>
        </w:tabs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基础数据表填写完成后，由各二级组织机构完成学校、二级学院、本科专业等其他</w:t>
      </w:r>
      <w:r>
        <w:rPr>
          <w:rFonts w:hint="eastAsia" w:ascii="宋体" w:hAnsi="宋体"/>
          <w:color w:val="000000"/>
          <w:sz w:val="24"/>
          <w:szCs w:val="24"/>
        </w:rPr>
        <w:t>基本状态数据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的录入和提交。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其中，工科类专业数据、师范类专业数据也一并填报完成。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第四阶段： 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1年11月1日-20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1年11月7日，数据验收与汇总、学校审核。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教评中心对教学基本状态数据进行汇总，提交学校校长办公会最终审核后，上报至教育部评估中心。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四、工作要求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各二级组织机构应加强协作，精心组织，强化责任，指定专人负责，同时要准确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把握数据采集的有关政策规定，认真填报，确保数据准确无误，按时完成。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1.做到准确及时。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各二级组织机构要对本单位采集的数据要进行认真审核。机构负责人为第一责任人，要对数据准确、填报及时负责。各二级组织机构所负责填报数据的纸质版，由领导签名及加盖机构公章后提交至教评中心。</w:t>
      </w:r>
    </w:p>
    <w:p>
      <w:pPr>
        <w:tabs>
          <w:tab w:val="left" w:pos="709"/>
        </w:tabs>
        <w:spacing w:line="360" w:lineRule="auto"/>
        <w:ind w:firstLine="482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2．加强协作配合。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各二级组织机构根据《东莞理工学院教学基本状态数据采集工作分解方案》，严格按照文件要求，按时完成采集任务。学校相关职能部门为数据采集的负责单位，二级学院为数据采集的参与单位。参与单位采集的数据项应按照负责职能部门的要求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将本单位审查合格后的数据，按时提交到负责单位审核。审核未通过的数据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不得进入下一环节。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五、注意事项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．本次数据采集的工作分解方案、各二级组织机构负责填报的数据表格、数据采集流程、数据填报指南等相关材料将上传至东莞理工学院2021年数据采集微信群，各填报人进群后自行下载。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．统计时间：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统计时间：分时期数和时点数，时期数又分自然年和学年。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自然年</w:t>
      </w:r>
      <w:r>
        <w:rPr>
          <w:rFonts w:ascii="宋体" w:hAnsi="宋体" w:cs="宋体"/>
          <w:kern w:val="0"/>
          <w:sz w:val="24"/>
          <w:szCs w:val="24"/>
        </w:rPr>
        <w:t>：指自然年度，</w:t>
      </w:r>
      <w:r>
        <w:rPr>
          <w:rFonts w:hint="eastAsia" w:ascii="宋体" w:hAnsi="宋体" w:cs="宋体"/>
          <w:kern w:val="0"/>
          <w:sz w:val="24"/>
          <w:szCs w:val="24"/>
        </w:rPr>
        <w:t>即2020年</w:t>
      </w:r>
      <w:r>
        <w:rPr>
          <w:rFonts w:ascii="宋体" w:hAnsi="宋体" w:cs="宋体"/>
          <w:kern w:val="0"/>
          <w:sz w:val="24"/>
          <w:szCs w:val="24"/>
        </w:rPr>
        <w:t>1月1日至12月31日。如财务、科研和图书信息按自然年度时期统计汇总数。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学年</w:t>
      </w:r>
      <w:r>
        <w:rPr>
          <w:rFonts w:ascii="宋体" w:hAnsi="宋体" w:cs="宋体"/>
          <w:kern w:val="0"/>
          <w:sz w:val="24"/>
          <w:szCs w:val="24"/>
        </w:rPr>
        <w:t>：指教</w:t>
      </w:r>
      <w:r>
        <w:rPr>
          <w:rFonts w:hint="eastAsia" w:ascii="宋体" w:hAnsi="宋体" w:cs="宋体"/>
          <w:kern w:val="0"/>
          <w:sz w:val="24"/>
          <w:szCs w:val="24"/>
        </w:rPr>
        <w:t>育</w:t>
      </w:r>
      <w:r>
        <w:rPr>
          <w:rFonts w:ascii="宋体" w:hAnsi="宋体" w:cs="宋体"/>
          <w:kern w:val="0"/>
          <w:sz w:val="24"/>
          <w:szCs w:val="24"/>
        </w:rPr>
        <w:t>年度，</w:t>
      </w:r>
      <w:r>
        <w:rPr>
          <w:rFonts w:hint="eastAsia" w:ascii="宋体" w:hAnsi="宋体" w:cs="宋体"/>
          <w:kern w:val="0"/>
          <w:sz w:val="24"/>
          <w:szCs w:val="24"/>
        </w:rPr>
        <w:t>即2020年</w:t>
      </w:r>
      <w:r>
        <w:rPr>
          <w:rFonts w:ascii="宋体" w:hAnsi="宋体" w:cs="宋体"/>
          <w:kern w:val="0"/>
          <w:sz w:val="24"/>
          <w:szCs w:val="24"/>
        </w:rPr>
        <w:t>9月1日至</w:t>
      </w:r>
      <w:r>
        <w:rPr>
          <w:rFonts w:hint="eastAsia" w:ascii="宋体" w:hAnsi="宋体" w:cs="宋体"/>
          <w:kern w:val="0"/>
          <w:sz w:val="24"/>
          <w:szCs w:val="24"/>
        </w:rPr>
        <w:t>2021年</w:t>
      </w:r>
      <w:r>
        <w:rPr>
          <w:rFonts w:ascii="宋体" w:hAnsi="宋体" w:cs="宋体"/>
          <w:kern w:val="0"/>
          <w:sz w:val="24"/>
          <w:szCs w:val="24"/>
        </w:rPr>
        <w:t>8月31日。如教学信息按学年度时期统计汇总数。</w:t>
      </w:r>
    </w:p>
    <w:p>
      <w:pPr>
        <w:widowControl/>
        <w:tabs>
          <w:tab w:val="left" w:pos="709"/>
        </w:tabs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时点</w:t>
      </w:r>
      <w:r>
        <w:rPr>
          <w:rFonts w:ascii="宋体" w:hAnsi="宋体" w:cs="宋体"/>
          <w:kern w:val="0"/>
          <w:sz w:val="24"/>
          <w:szCs w:val="24"/>
        </w:rPr>
        <w:t>：指特定时刻产生的指标数据的统计截止时间，</w:t>
      </w:r>
      <w:r>
        <w:rPr>
          <w:rFonts w:hint="eastAsia" w:ascii="宋体" w:hAnsi="宋体" w:cs="宋体"/>
          <w:kern w:val="0"/>
          <w:sz w:val="24"/>
          <w:szCs w:val="24"/>
        </w:rPr>
        <w:t>即2021年</w:t>
      </w:r>
      <w:r>
        <w:rPr>
          <w:rFonts w:ascii="宋体" w:hAnsi="宋体" w:cs="宋体"/>
          <w:kern w:val="0"/>
          <w:sz w:val="24"/>
          <w:szCs w:val="24"/>
        </w:rPr>
        <w:t>9月30日。如在校生数、教职工数、占地面积、固定资产总值等指标为统计时点数。（具体时间参考采集信息的时间标注）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3．数据采集过程中如有疑问之处，请通过“数据采集微信群”或电话及时与教评中心联系。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联系人：曾华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办公室：1B512</w:t>
      </w:r>
    </w:p>
    <w:p>
      <w:pPr>
        <w:widowControl/>
        <w:tabs>
          <w:tab w:val="left" w:pos="709"/>
        </w:tabs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电话：办公室</w:t>
      </w:r>
      <w:r>
        <w:rPr>
          <w:rFonts w:ascii="宋体" w:hAnsi="宋体" w:cs="宋体"/>
          <w:kern w:val="0"/>
          <w:sz w:val="24"/>
          <w:szCs w:val="24"/>
        </w:rPr>
        <w:t>2286</w:t>
      </w:r>
      <w:r>
        <w:rPr>
          <w:rFonts w:hint="eastAsia" w:ascii="宋体" w:hAnsi="宋体" w:cs="宋体"/>
          <w:kern w:val="0"/>
          <w:sz w:val="24"/>
          <w:szCs w:val="24"/>
        </w:rPr>
        <w:t>29</w:t>
      </w:r>
      <w:r>
        <w:rPr>
          <w:rFonts w:ascii="宋体" w:hAnsi="宋体" w:cs="宋体"/>
          <w:kern w:val="0"/>
          <w:sz w:val="24"/>
          <w:szCs w:val="24"/>
        </w:rPr>
        <w:t>05</w:t>
      </w:r>
      <w:r>
        <w:rPr>
          <w:rFonts w:hint="eastAsia" w:ascii="宋体" w:hAnsi="宋体" w:cs="宋体"/>
          <w:kern w:val="0"/>
          <w:sz w:val="24"/>
          <w:szCs w:val="24"/>
        </w:rPr>
        <w:t>,手机13751284508（短号618349）</w:t>
      </w:r>
    </w:p>
    <w:p>
      <w:pPr>
        <w:tabs>
          <w:tab w:val="left" w:pos="709"/>
        </w:tabs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tabs>
          <w:tab w:val="left" w:pos="709"/>
        </w:tabs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tabs>
          <w:tab w:val="left" w:pos="709"/>
        </w:tabs>
        <w:snapToGrid w:val="0"/>
        <w:spacing w:line="360" w:lineRule="auto"/>
        <w:ind w:firstLine="4800" w:firstLineChars="20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教学质量监测与评估中心</w:t>
      </w:r>
    </w:p>
    <w:p>
      <w:pPr>
        <w:widowControl/>
        <w:tabs>
          <w:tab w:val="left" w:pos="709"/>
        </w:tabs>
        <w:snapToGrid w:val="0"/>
        <w:spacing w:line="360" w:lineRule="auto"/>
        <w:ind w:firstLine="5225" w:firstLineChars="217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1年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月23日　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772D"/>
    <w:rsid w:val="0003241C"/>
    <w:rsid w:val="000612C7"/>
    <w:rsid w:val="00062375"/>
    <w:rsid w:val="0006490A"/>
    <w:rsid w:val="000C5E2A"/>
    <w:rsid w:val="001010A9"/>
    <w:rsid w:val="001517FF"/>
    <w:rsid w:val="001843CE"/>
    <w:rsid w:val="001A09DE"/>
    <w:rsid w:val="001B2D38"/>
    <w:rsid w:val="001E70EC"/>
    <w:rsid w:val="0022772D"/>
    <w:rsid w:val="00247909"/>
    <w:rsid w:val="002A1E23"/>
    <w:rsid w:val="002D6449"/>
    <w:rsid w:val="00335608"/>
    <w:rsid w:val="003B1BD7"/>
    <w:rsid w:val="004200C4"/>
    <w:rsid w:val="00455981"/>
    <w:rsid w:val="00483071"/>
    <w:rsid w:val="004C534A"/>
    <w:rsid w:val="0057062F"/>
    <w:rsid w:val="00575655"/>
    <w:rsid w:val="00585A9C"/>
    <w:rsid w:val="005A5119"/>
    <w:rsid w:val="005B1B31"/>
    <w:rsid w:val="005B5049"/>
    <w:rsid w:val="005D3A67"/>
    <w:rsid w:val="00635DA6"/>
    <w:rsid w:val="006A4272"/>
    <w:rsid w:val="006B0E78"/>
    <w:rsid w:val="006E0195"/>
    <w:rsid w:val="006E39B5"/>
    <w:rsid w:val="007802F5"/>
    <w:rsid w:val="0079134C"/>
    <w:rsid w:val="007D5693"/>
    <w:rsid w:val="007F42DB"/>
    <w:rsid w:val="00801690"/>
    <w:rsid w:val="0086398B"/>
    <w:rsid w:val="00866DAE"/>
    <w:rsid w:val="008F6044"/>
    <w:rsid w:val="00900498"/>
    <w:rsid w:val="00922E6C"/>
    <w:rsid w:val="0094396F"/>
    <w:rsid w:val="00956961"/>
    <w:rsid w:val="009E1CE6"/>
    <w:rsid w:val="009E49F8"/>
    <w:rsid w:val="00AE5E0D"/>
    <w:rsid w:val="00B94DED"/>
    <w:rsid w:val="00C4752F"/>
    <w:rsid w:val="00C57B0C"/>
    <w:rsid w:val="00C84578"/>
    <w:rsid w:val="00C970C2"/>
    <w:rsid w:val="00CE4619"/>
    <w:rsid w:val="00CF148D"/>
    <w:rsid w:val="00CF7C64"/>
    <w:rsid w:val="00D0463C"/>
    <w:rsid w:val="00D25346"/>
    <w:rsid w:val="00D81B0D"/>
    <w:rsid w:val="00DF0F1D"/>
    <w:rsid w:val="00E61ABC"/>
    <w:rsid w:val="00EC297D"/>
    <w:rsid w:val="00F83442"/>
    <w:rsid w:val="00FC1380"/>
    <w:rsid w:val="00FF04D0"/>
    <w:rsid w:val="01F96EC8"/>
    <w:rsid w:val="09F43460"/>
    <w:rsid w:val="0C534244"/>
    <w:rsid w:val="11935BD6"/>
    <w:rsid w:val="1623745E"/>
    <w:rsid w:val="18B1550E"/>
    <w:rsid w:val="1D1631C4"/>
    <w:rsid w:val="1D441B15"/>
    <w:rsid w:val="24E84399"/>
    <w:rsid w:val="25DA2A28"/>
    <w:rsid w:val="2AE2376A"/>
    <w:rsid w:val="2DAF4B82"/>
    <w:rsid w:val="2DD5373D"/>
    <w:rsid w:val="32A30275"/>
    <w:rsid w:val="376E1153"/>
    <w:rsid w:val="48BA3162"/>
    <w:rsid w:val="50F04F55"/>
    <w:rsid w:val="5DD66FF9"/>
    <w:rsid w:val="644D709C"/>
    <w:rsid w:val="67D5446A"/>
    <w:rsid w:val="6AB02619"/>
    <w:rsid w:val="71132313"/>
    <w:rsid w:val="726A28C4"/>
    <w:rsid w:val="77997C43"/>
    <w:rsid w:val="790A7EA5"/>
    <w:rsid w:val="7C617B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330</Words>
  <Characters>1883</Characters>
  <Lines>15</Lines>
  <Paragraphs>4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2019-10-09T03:23:00Z</dcterms:created>
  <dc:creator>andychan</dc:creator>
  <cp:lastModifiedBy>Administrator</cp:lastModifiedBy>
  <cp:lastPrinted>2019-10-09T03:24:00Z</cp:lastPrinted>
  <dcterms:modified xsi:type="dcterms:W3CDTF">2021-09-27T01:07:59Z</dcterms:modified>
  <dc:title>  东 莞 理 工 学 院 教 评 中 心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