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方正小标宋简体" w:asciiTheme="minorEastAsia" w:hAnsiTheme="minorEastAsia"/>
          <w:color w:val="000000"/>
          <w:sz w:val="28"/>
          <w:szCs w:val="28"/>
        </w:rPr>
      </w:pPr>
    </w:p>
    <w:p>
      <w:pPr>
        <w:snapToGrid w:val="0"/>
        <w:rPr>
          <w:rFonts w:ascii="仿宋_GB2312" w:hAnsi="方正小标宋简体" w:eastAsia="仿宋_GB2312" w:cs="方正小标宋简体"/>
          <w:color w:val="00000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</w:rPr>
        <w:t>附件3</w:t>
      </w:r>
    </w:p>
    <w:p>
      <w:pPr>
        <w:snapToGrid w:val="0"/>
        <w:jc w:val="center"/>
        <w:rPr>
          <w:rFonts w:ascii="仿宋_GB2312" w:hAnsi="方正小标宋简体" w:eastAsia="仿宋_GB2312" w:cs="方正小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</w:rPr>
        <w:t>东莞理工学院线上教学课程评价标准</w:t>
      </w:r>
      <w:bookmarkEnd w:id="0"/>
    </w:p>
    <w:tbl>
      <w:tblPr>
        <w:tblStyle w:val="2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237"/>
        <w:gridCol w:w="85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评价指标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评价内容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分值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（分）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教学设计</w:t>
            </w:r>
          </w:p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（15%）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教学目标明确、思路清晰，在线教学计划安排合理，使学生能正确掌握线上学习方法、了解本课程学习要求。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教学设计合理，按照教学大纲和课堂教学目标组织教学资源，课程思政育人元素融合设计恰当，教学方法灵活且多元化。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教学内容设计得当，能准确把握课程重点和难点，有效利用在线资源，互补性好。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教学资源</w:t>
            </w:r>
          </w:p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（30%）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课程介绍、教学大纲、预备知识、参考资料、教学视频、教学辅导等课程资源齐备、内容充实；在线作业、在线题库和在线答疑等资源丰富，能够满足平时学习和考核需要。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  <w:t>教学视频画面美观、内容丰富、图像和声音清晰、语言富感染力。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坚持立德树人，</w:t>
            </w: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  <w:t>能够将思想政治教育内化为课程内容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；教学内容能较好反映或联系学科发展新思想、新概念、新成果，服务于课程目标。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教学过程</w:t>
            </w:r>
          </w:p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（30%）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教学过程和教学时间安排合理，线上资源应用得当，能充分体现线上教学的优势。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在线教学讲解逻辑性强，内容承前启后，循序渐进，重点突出，难点处理得当；能有效启发学生思维、调动学习积极性，教学互动性强，学生参与度高，课堂应变能力强。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随堂测验、课后作业布置合理，批改反馈及时；教学互动与多媒体资源相配合，能实时解答学生提问。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教学效果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（20%）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能保证在线学习与线下课堂教学质量实质等效，教学效果好。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学生能够很好的达成课程教学目标，学生评价高。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教学特色</w:t>
            </w:r>
          </w:p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（5%）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教学理念先进、感染力强，风格突出、能够以信息技术与教育教学深度整合进行教与学的改革创新，推动学习方式变革，提高学习成效。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92480"/>
    <w:rsid w:val="453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2020-04-13T05:54:00Z</dcterms:created>
  <dc:creator>琼</dc:creator>
  <cp:lastModifiedBy>琼</cp:lastModifiedBy>
  <dcterms:modified xsi:type="dcterms:W3CDTF">2020-04-13T05:55:24Z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