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>
      <w:pPr>
        <w:spacing w:line="360" w:lineRule="auto"/>
        <w:ind w:firstLine="2940" w:firstLineChars="1400"/>
      </w:pPr>
      <w:bookmarkStart w:id="0" w:name="_GoBack"/>
      <w:r>
        <w:rPr>
          <w:rFonts w:hint="eastAsia"/>
        </w:rPr>
        <w:t>有5届及以上毕业生的专业一览表</w:t>
      </w:r>
    </w:p>
    <w:bookmarkEnd w:id="0"/>
    <w:tbl>
      <w:tblPr>
        <w:tblStyle w:val="2"/>
        <w:tblW w:w="70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2766"/>
        <w:gridCol w:w="1708"/>
      </w:tblGrid>
      <w:tr>
        <w:trPr>
          <w:trHeight w:val="600" w:hRule="atLeast"/>
          <w:jc w:val="center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首次招生年度</w:t>
            </w:r>
          </w:p>
        </w:tc>
      </w:tr>
      <w:tr>
        <w:trPr>
          <w:trHeight w:val="279" w:hRule="atLeast"/>
          <w:jc w:val="center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国际微电子学院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281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电信工程与智能化学院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281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光电信息科学与工程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281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自动化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2013</w:t>
            </w:r>
          </w:p>
        </w:tc>
      </w:tr>
      <w:tr>
        <w:trPr>
          <w:trHeight w:val="281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2011</w:t>
            </w:r>
          </w:p>
        </w:tc>
      </w:tr>
      <w:tr>
        <w:trPr>
          <w:trHeight w:val="312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机械工程学院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312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工业工程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2008</w:t>
            </w:r>
          </w:p>
        </w:tc>
      </w:tr>
      <w:tr>
        <w:trPr>
          <w:trHeight w:val="312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工业设计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2005</w:t>
            </w:r>
          </w:p>
        </w:tc>
      </w:tr>
      <w:tr>
        <w:trPr>
          <w:trHeight w:val="206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化学工程与能源技术学院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应用化学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206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能源与动力工程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2009</w:t>
            </w:r>
          </w:p>
        </w:tc>
      </w:tr>
      <w:tr>
        <w:trPr>
          <w:trHeight w:val="206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2012</w:t>
            </w:r>
          </w:p>
        </w:tc>
      </w:tr>
      <w:tr>
        <w:trPr>
          <w:trHeight w:val="300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计算机科学与技术学院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30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软件工程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30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网络工程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2014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经济与管理学院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2002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会计学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2004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经济与金融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2014</w:t>
            </w:r>
          </w:p>
        </w:tc>
      </w:tr>
      <w:tr>
        <w:trPr>
          <w:trHeight w:val="270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法律与社会工作学院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法学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27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2013</w:t>
            </w:r>
          </w:p>
        </w:tc>
      </w:tr>
      <w:tr>
        <w:trPr>
          <w:trHeight w:val="291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生态环境与建筑工程学院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280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333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环境工程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2008</w:t>
            </w:r>
          </w:p>
        </w:tc>
      </w:tr>
      <w:tr>
        <w:trPr>
          <w:trHeight w:val="312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教育学院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社会体育指导与管理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323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音乐学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2004</w:t>
            </w:r>
          </w:p>
        </w:tc>
      </w:tr>
      <w:tr>
        <w:trPr>
          <w:trHeight w:val="323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小学教育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2007</w:t>
            </w:r>
          </w:p>
        </w:tc>
      </w:tr>
      <w:tr>
        <w:trPr>
          <w:trHeight w:val="279" w:hRule="atLeast"/>
          <w:jc w:val="center"/>
        </w:trPr>
        <w:tc>
          <w:tcPr>
            <w:tcW w:w="2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文学与传媒学院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2003</w:t>
            </w:r>
          </w:p>
        </w:tc>
      </w:tr>
      <w:tr>
        <w:trPr>
          <w:trHeight w:val="312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2004</w:t>
            </w:r>
          </w:p>
        </w:tc>
      </w:tr>
      <w:tr>
        <w:trPr>
          <w:trHeight w:val="302" w:hRule="atLeast"/>
          <w:jc w:val="center"/>
        </w:trPr>
        <w:tc>
          <w:tcPr>
            <w:tcW w:w="2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广播电视学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2005</w:t>
            </w:r>
          </w:p>
        </w:tc>
      </w:tr>
      <w:tr>
        <w:trPr>
          <w:trHeight w:val="365" w:hRule="atLeast"/>
          <w:jc w:val="center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高分子材料与工程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2011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DB7779"/>
    <w:rsid w:val="CDD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2023-05-22T09:55:00Z</dcterms:created>
  <dc:creator>余英时的门徒</dc:creator>
  <cp:lastModifiedBy>余英时的门徒</cp:lastModifiedBy>
  <dcterms:modified xsi:type="dcterms:W3CDTF">2023-05-22T09:55:42Z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3E5F9037A7F2B3E486CB6A647AFACBB0_41</vt:lpwstr>
  </property>
</Properties>
</file>